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F4049F" w14:textId="153A5C84" w:rsidR="003D577F" w:rsidRDefault="003D577F" w:rsidP="00CE1F91">
      <w:pPr>
        <w:spacing w:before="100" w:beforeAutospacing="1" w:after="100" w:afterAutospacing="1" w:line="240" w:lineRule="auto"/>
        <w:jc w:val="center"/>
        <w:rPr>
          <w:rFonts w:ascii="Arial" w:eastAsia="Times New Roman" w:hAnsi="Arial" w:cs="Arial"/>
          <w:color w:val="000000"/>
          <w:sz w:val="18"/>
          <w:szCs w:val="18"/>
          <w:lang w:eastAsia="pt-BR"/>
        </w:rPr>
      </w:pPr>
      <w:r w:rsidRPr="00592295">
        <w:rPr>
          <w:rFonts w:ascii="Arial" w:eastAsia="Times New Roman" w:hAnsi="Arial" w:cs="Arial"/>
          <w:b/>
          <w:bCs/>
          <w:caps/>
          <w:color w:val="000000"/>
          <w:sz w:val="18"/>
          <w:szCs w:val="18"/>
          <w:lang w:eastAsia="pt-BR"/>
        </w:rPr>
        <w:t>EDITAL</w:t>
      </w:r>
      <w:r w:rsidR="00CE1F91">
        <w:rPr>
          <w:rFonts w:ascii="Arial" w:eastAsia="Times New Roman" w:hAnsi="Arial" w:cs="Arial"/>
          <w:b/>
          <w:bCs/>
          <w:caps/>
          <w:color w:val="000000"/>
          <w:sz w:val="18"/>
          <w:szCs w:val="18"/>
          <w:lang w:eastAsia="pt-BR"/>
        </w:rPr>
        <w:t xml:space="preserve"> </w:t>
      </w:r>
      <w:r w:rsidRPr="00592295">
        <w:rPr>
          <w:rFonts w:ascii="Arial" w:eastAsia="Times New Roman" w:hAnsi="Arial" w:cs="Arial"/>
          <w:b/>
          <w:bCs/>
          <w:color w:val="000000"/>
          <w:sz w:val="18"/>
          <w:szCs w:val="18"/>
          <w:lang w:eastAsia="pt-BR"/>
        </w:rPr>
        <w:t>PREGÃO ELETRÔNICO</w:t>
      </w:r>
      <w:r w:rsidRPr="00592295">
        <w:rPr>
          <w:rFonts w:ascii="Arial" w:eastAsia="Times New Roman" w:hAnsi="Arial" w:cs="Arial"/>
          <w:color w:val="000000"/>
          <w:sz w:val="18"/>
          <w:szCs w:val="18"/>
          <w:lang w:eastAsia="pt-BR"/>
        </w:rPr>
        <w:t> </w:t>
      </w:r>
      <w:r w:rsidR="0062504D">
        <w:rPr>
          <w:rFonts w:ascii="Arial" w:eastAsia="Times New Roman" w:hAnsi="Arial" w:cs="Arial"/>
          <w:b/>
          <w:bCs/>
          <w:sz w:val="18"/>
          <w:szCs w:val="18"/>
          <w:lang w:eastAsia="pt-BR"/>
        </w:rPr>
        <w:t>90334/2026</w:t>
      </w:r>
    </w:p>
    <w:p w14:paraId="0762007C"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55B95BC7"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CONTRATANTE (UASG)</w:t>
      </w:r>
    </w:p>
    <w:p w14:paraId="4302CD1D"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HOSPITAL DAS CLÍNICAS DA FACULDADE DE MEDICINA DA UNIVERSIDADE DE SÃO PAULO – HCFMUSP (092301)</w:t>
      </w:r>
    </w:p>
    <w:p w14:paraId="5D83B9FC"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2182DA55"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33FEA3EE" w14:textId="77777777" w:rsidR="003D577F" w:rsidRPr="009C641A" w:rsidRDefault="003D577F" w:rsidP="00005CD4">
      <w:pPr>
        <w:spacing w:after="0" w:line="240" w:lineRule="auto"/>
        <w:ind w:left="40" w:right="40"/>
        <w:jc w:val="both"/>
        <w:rPr>
          <w:rFonts w:ascii="Arial" w:eastAsia="Times New Roman" w:hAnsi="Arial" w:cs="Arial"/>
          <w:color w:val="000000"/>
          <w:sz w:val="18"/>
          <w:szCs w:val="18"/>
          <w:lang w:eastAsia="pt-BR"/>
        </w:rPr>
      </w:pPr>
      <w:r w:rsidRPr="009C641A">
        <w:rPr>
          <w:rFonts w:ascii="Arial" w:eastAsia="Times New Roman" w:hAnsi="Arial" w:cs="Arial"/>
          <w:b/>
          <w:bCs/>
          <w:color w:val="000000"/>
          <w:sz w:val="18"/>
          <w:szCs w:val="18"/>
          <w:lang w:eastAsia="pt-BR"/>
        </w:rPr>
        <w:t>OBJETO</w:t>
      </w:r>
    </w:p>
    <w:p w14:paraId="4AE3AC04" w14:textId="70D3FB73" w:rsidR="00925530" w:rsidRDefault="003D577F" w:rsidP="000B1F56">
      <w:pPr>
        <w:pStyle w:val="TableParagraph"/>
        <w:spacing w:before="1"/>
        <w:ind w:left="22"/>
        <w:jc w:val="both"/>
        <w:rPr>
          <w:rFonts w:ascii="Arial" w:hAnsi="Arial" w:cs="Arial"/>
          <w:color w:val="000000"/>
          <w:sz w:val="18"/>
          <w:szCs w:val="18"/>
        </w:rPr>
      </w:pPr>
      <w:r w:rsidRPr="00925530">
        <w:rPr>
          <w:rFonts w:ascii="Arial" w:eastAsia="Times New Roman" w:hAnsi="Arial" w:cs="Arial"/>
          <w:b/>
          <w:bCs/>
          <w:color w:val="000000"/>
          <w:sz w:val="18"/>
          <w:szCs w:val="18"/>
          <w:lang w:eastAsia="pt-BR"/>
        </w:rPr>
        <w:t>Registro de preço para contratações futuras</w:t>
      </w:r>
      <w:r w:rsidR="007C50FC" w:rsidRPr="00925530">
        <w:rPr>
          <w:rFonts w:ascii="Arial" w:eastAsia="Times New Roman" w:hAnsi="Arial" w:cs="Arial"/>
          <w:b/>
          <w:bCs/>
          <w:color w:val="000000"/>
          <w:sz w:val="18"/>
          <w:szCs w:val="18"/>
          <w:lang w:eastAsia="pt-BR"/>
        </w:rPr>
        <w:t xml:space="preserve"> </w:t>
      </w:r>
      <w:r w:rsidR="00925530">
        <w:rPr>
          <w:rFonts w:ascii="Arial" w:eastAsia="Times New Roman" w:hAnsi="Arial" w:cs="Arial"/>
          <w:b/>
          <w:bCs/>
          <w:color w:val="000000"/>
          <w:sz w:val="18"/>
          <w:szCs w:val="18"/>
          <w:lang w:eastAsia="pt-BR"/>
        </w:rPr>
        <w:t>de</w:t>
      </w:r>
      <w:r w:rsidR="00764565" w:rsidRPr="00925530">
        <w:rPr>
          <w:rFonts w:ascii="Arial" w:hAnsi="Arial" w:cs="Arial"/>
          <w:color w:val="000000"/>
          <w:sz w:val="18"/>
          <w:szCs w:val="18"/>
        </w:rPr>
        <w:t> </w:t>
      </w:r>
      <w:r w:rsidR="00F20451" w:rsidRPr="00F20451">
        <w:rPr>
          <w:rFonts w:ascii="Arial" w:hAnsi="Arial" w:cs="Arial"/>
          <w:b/>
          <w:sz w:val="18"/>
          <w:szCs w:val="18"/>
        </w:rPr>
        <w:t>A</w:t>
      </w:r>
      <w:r w:rsidR="0062504D" w:rsidRPr="00F20451">
        <w:rPr>
          <w:rFonts w:ascii="Arial" w:hAnsi="Arial" w:cs="Arial"/>
          <w:b/>
          <w:sz w:val="18"/>
          <w:szCs w:val="18"/>
        </w:rPr>
        <w:t>vental de protecao de assistencia ao paciente</w:t>
      </w:r>
      <w:r w:rsidR="00925530" w:rsidRPr="00925530">
        <w:rPr>
          <w:rFonts w:ascii="Arial" w:hAnsi="Arial" w:cs="Arial"/>
          <w:color w:val="000000"/>
          <w:sz w:val="18"/>
          <w:szCs w:val="18"/>
        </w:rPr>
        <w:t>, cujas especificações constantes dos respectivos Estudos Técnicos Preliminares e Termo de Referência aprovo, considerado(s) bem(ns) comum(ns) por se tratar de </w:t>
      </w:r>
      <w:bookmarkStart w:id="0" w:name="TipoObjeto"/>
      <w:bookmarkEnd w:id="0"/>
      <w:r w:rsidR="00925530" w:rsidRPr="00925530">
        <w:rPr>
          <w:rFonts w:ascii="Arial" w:hAnsi="Arial" w:cs="Arial"/>
          <w:color w:val="000000"/>
          <w:sz w:val="18"/>
          <w:szCs w:val="18"/>
        </w:rPr>
        <w:t>material de uso técnico – hospitalar, com especificações usuais no mercado.</w:t>
      </w:r>
    </w:p>
    <w:p w14:paraId="1B4AE508" w14:textId="77777777" w:rsidR="00764565" w:rsidRPr="00925530" w:rsidRDefault="00925530" w:rsidP="000B1F56">
      <w:pPr>
        <w:pStyle w:val="TableParagraph"/>
        <w:spacing w:before="1"/>
        <w:ind w:left="22"/>
        <w:jc w:val="both"/>
        <w:rPr>
          <w:rFonts w:ascii="Arial" w:eastAsia="Times New Roman" w:hAnsi="Arial" w:cs="Arial"/>
          <w:b/>
          <w:bCs/>
          <w:color w:val="000000"/>
          <w:sz w:val="18"/>
          <w:szCs w:val="18"/>
          <w:lang w:eastAsia="pt-BR"/>
        </w:rPr>
      </w:pPr>
      <w:r w:rsidRPr="00925530">
        <w:rPr>
          <w:rFonts w:ascii="Arial" w:eastAsia="Times New Roman" w:hAnsi="Arial" w:cs="Arial"/>
          <w:b/>
          <w:bCs/>
          <w:color w:val="000000"/>
          <w:sz w:val="18"/>
          <w:szCs w:val="18"/>
          <w:lang w:eastAsia="pt-BR"/>
        </w:rPr>
        <w:t xml:space="preserve"> </w:t>
      </w:r>
    </w:p>
    <w:p w14:paraId="234113A3" w14:textId="77777777" w:rsidR="003D577F" w:rsidRPr="00CA32BE" w:rsidRDefault="003D577F" w:rsidP="00701D14">
      <w:pPr>
        <w:pStyle w:val="TableParagraph"/>
        <w:spacing w:before="1"/>
        <w:ind w:left="22"/>
        <w:jc w:val="both"/>
        <w:rPr>
          <w:rFonts w:ascii="Arial" w:eastAsia="Times New Roman" w:hAnsi="Arial" w:cs="Arial"/>
          <w:color w:val="000000"/>
          <w:sz w:val="18"/>
          <w:szCs w:val="18"/>
          <w:lang w:eastAsia="pt-BR"/>
        </w:rPr>
      </w:pPr>
      <w:r w:rsidRPr="00CA32BE">
        <w:rPr>
          <w:rFonts w:ascii="Arial" w:eastAsia="Times New Roman" w:hAnsi="Arial" w:cs="Arial"/>
          <w:b/>
          <w:bCs/>
          <w:color w:val="000000"/>
          <w:sz w:val="18"/>
          <w:szCs w:val="18"/>
          <w:lang w:eastAsia="pt-BR"/>
        </w:rPr>
        <w:t>VALOR TOTAL DA CONTRATAÇÃO</w:t>
      </w:r>
    </w:p>
    <w:p w14:paraId="129B22BE" w14:textId="77777777" w:rsidR="003D577F" w:rsidRPr="00CA32BE" w:rsidRDefault="003D577F" w:rsidP="00005CD4">
      <w:pPr>
        <w:spacing w:after="0" w:line="240" w:lineRule="auto"/>
        <w:ind w:left="40" w:right="40"/>
        <w:jc w:val="both"/>
        <w:rPr>
          <w:rFonts w:ascii="Arial" w:eastAsia="Times New Roman" w:hAnsi="Arial" w:cs="Arial"/>
          <w:color w:val="000000"/>
          <w:sz w:val="18"/>
          <w:szCs w:val="18"/>
          <w:lang w:eastAsia="pt-BR"/>
        </w:rPr>
      </w:pPr>
      <w:r w:rsidRPr="00CA32BE">
        <w:rPr>
          <w:rFonts w:ascii="Arial" w:eastAsia="Times New Roman" w:hAnsi="Arial" w:cs="Arial"/>
          <w:color w:val="000000"/>
          <w:sz w:val="18"/>
          <w:szCs w:val="18"/>
          <w:lang w:eastAsia="pt-BR"/>
        </w:rPr>
        <w:t>Orçamento sigiloso</w:t>
      </w:r>
    </w:p>
    <w:p w14:paraId="64909449" w14:textId="77777777" w:rsidR="003D577F" w:rsidRPr="00CA32BE" w:rsidRDefault="003D577F" w:rsidP="00005CD4">
      <w:pPr>
        <w:spacing w:after="0" w:line="240" w:lineRule="auto"/>
        <w:ind w:left="40" w:right="40"/>
        <w:jc w:val="both"/>
        <w:rPr>
          <w:rFonts w:ascii="Arial" w:eastAsia="Times New Roman" w:hAnsi="Arial" w:cs="Arial"/>
          <w:color w:val="000000"/>
          <w:sz w:val="18"/>
          <w:szCs w:val="18"/>
          <w:lang w:eastAsia="pt-BR"/>
        </w:rPr>
      </w:pPr>
      <w:r w:rsidRPr="00CA32BE">
        <w:rPr>
          <w:rFonts w:ascii="Arial" w:eastAsia="Times New Roman" w:hAnsi="Arial" w:cs="Arial"/>
          <w:color w:val="000000"/>
          <w:sz w:val="18"/>
          <w:szCs w:val="18"/>
          <w:lang w:eastAsia="pt-BR"/>
        </w:rPr>
        <w:t> </w:t>
      </w:r>
    </w:p>
    <w:p w14:paraId="19959661"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1AB6C342"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DATA DA SESSÃO PÚBLICA</w:t>
      </w:r>
    </w:p>
    <w:p w14:paraId="706D8168" w14:textId="53335268"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 xml:space="preserve">Dia </w:t>
      </w:r>
      <w:r w:rsidR="00F20451" w:rsidRPr="00F20451">
        <w:rPr>
          <w:rFonts w:ascii="Arial" w:eastAsia="Times New Roman" w:hAnsi="Arial" w:cs="Arial"/>
          <w:b/>
          <w:bCs/>
          <w:sz w:val="18"/>
          <w:szCs w:val="18"/>
          <w:lang w:eastAsia="pt-BR"/>
        </w:rPr>
        <w:t>29/05/2026</w:t>
      </w:r>
      <w:r w:rsidRPr="00F20451">
        <w:rPr>
          <w:rFonts w:ascii="Arial" w:eastAsia="Times New Roman" w:hAnsi="Arial" w:cs="Arial"/>
          <w:b/>
          <w:bCs/>
          <w:sz w:val="18"/>
          <w:szCs w:val="18"/>
          <w:lang w:eastAsia="pt-BR"/>
        </w:rPr>
        <w:t> </w:t>
      </w:r>
      <w:r w:rsidRPr="00054DE8">
        <w:rPr>
          <w:rFonts w:ascii="Arial" w:eastAsia="Times New Roman" w:hAnsi="Arial" w:cs="Arial"/>
          <w:b/>
          <w:color w:val="000000"/>
          <w:sz w:val="18"/>
          <w:szCs w:val="18"/>
          <w:lang w:eastAsia="pt-BR"/>
        </w:rPr>
        <w:t>às 09:00</w:t>
      </w:r>
      <w:r w:rsidRPr="00592295">
        <w:rPr>
          <w:rFonts w:ascii="Arial" w:eastAsia="Times New Roman" w:hAnsi="Arial" w:cs="Arial"/>
          <w:b/>
          <w:bCs/>
          <w:color w:val="000000"/>
          <w:sz w:val="18"/>
          <w:szCs w:val="18"/>
          <w:lang w:eastAsia="pt-BR"/>
        </w:rPr>
        <w:t>h (horário de Brasília)</w:t>
      </w:r>
    </w:p>
    <w:p w14:paraId="340A6918"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0E6E905E"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42A52709"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CRITÉRIO DE JULGAMENTO:</w:t>
      </w:r>
    </w:p>
    <w:p w14:paraId="54D769A6" w14:textId="77777777" w:rsidR="00E3783B" w:rsidRDefault="003D577F" w:rsidP="00005CD4">
      <w:pPr>
        <w:spacing w:after="0" w:line="240" w:lineRule="auto"/>
        <w:ind w:left="40" w:right="40"/>
        <w:jc w:val="both"/>
        <w:rPr>
          <w:rFonts w:ascii="Arial" w:eastAsia="Times New Roman" w:hAnsi="Arial" w:cs="Arial"/>
          <w:color w:val="FF0000"/>
          <w:sz w:val="18"/>
          <w:szCs w:val="18"/>
          <w:lang w:eastAsia="pt-BR"/>
        </w:rPr>
      </w:pPr>
      <w:r w:rsidRPr="00592295">
        <w:rPr>
          <w:rFonts w:ascii="Arial" w:eastAsia="Times New Roman" w:hAnsi="Arial" w:cs="Arial"/>
          <w:color w:val="000000"/>
          <w:sz w:val="18"/>
          <w:szCs w:val="18"/>
          <w:lang w:eastAsia="pt-BR"/>
        </w:rPr>
        <w:t xml:space="preserve">Menor preço por </w:t>
      </w:r>
      <w:r w:rsidRPr="00291040">
        <w:rPr>
          <w:rFonts w:ascii="Arial" w:eastAsia="Times New Roman" w:hAnsi="Arial" w:cs="Arial"/>
          <w:sz w:val="18"/>
          <w:szCs w:val="18"/>
          <w:lang w:eastAsia="pt-BR"/>
        </w:rPr>
        <w:t>item</w:t>
      </w:r>
    </w:p>
    <w:p w14:paraId="66FCD5ED" w14:textId="77777777" w:rsidR="00291040" w:rsidRPr="00592295" w:rsidRDefault="00291040" w:rsidP="00005CD4">
      <w:pPr>
        <w:spacing w:after="0" w:line="240" w:lineRule="auto"/>
        <w:ind w:left="40" w:right="40"/>
        <w:jc w:val="both"/>
        <w:rPr>
          <w:rFonts w:ascii="Arial" w:eastAsia="Times New Roman" w:hAnsi="Arial" w:cs="Arial"/>
          <w:color w:val="000000"/>
          <w:sz w:val="18"/>
          <w:szCs w:val="18"/>
          <w:lang w:eastAsia="pt-BR"/>
        </w:rPr>
      </w:pPr>
    </w:p>
    <w:p w14:paraId="0CA7D006"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MODO DE DISPUTA:</w:t>
      </w:r>
    </w:p>
    <w:p w14:paraId="1CE43160"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Aberto</w:t>
      </w:r>
    </w:p>
    <w:p w14:paraId="7946F661"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3266E485"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PREFERÊNCIA ME/EPP/EQUIPARADAS</w:t>
      </w:r>
    </w:p>
    <w:p w14:paraId="305990C5"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SIM</w:t>
      </w:r>
    </w:p>
    <w:p w14:paraId="77138FDC"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4482D0E6" w14:textId="77777777" w:rsidR="003D577F" w:rsidRPr="00592295" w:rsidRDefault="003D577F" w:rsidP="00B20D1D">
      <w:pPr>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6994E9A2" w14:textId="77777777"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Sumário</w:t>
      </w:r>
    </w:p>
    <w:p w14:paraId="10D3E324" w14:textId="77777777" w:rsidR="003D577F" w:rsidRPr="00592295" w:rsidRDefault="008612CC" w:rsidP="00005CD4">
      <w:pPr>
        <w:spacing w:after="165" w:line="240" w:lineRule="auto"/>
        <w:jc w:val="both"/>
        <w:rPr>
          <w:rFonts w:ascii="Arial" w:eastAsia="Times New Roman" w:hAnsi="Arial" w:cs="Arial"/>
          <w:color w:val="000000"/>
          <w:sz w:val="18"/>
          <w:szCs w:val="18"/>
          <w:lang w:eastAsia="pt-BR"/>
        </w:rPr>
      </w:pPr>
      <w:hyperlink r:id="rId8" w:anchor="_Toc135469223" w:tgtFrame="_blank" w:history="1">
        <w:r w:rsidR="003D577F" w:rsidRPr="00592295">
          <w:rPr>
            <w:rFonts w:ascii="Arial" w:eastAsia="Times New Roman" w:hAnsi="Arial" w:cs="Arial"/>
            <w:color w:val="000080"/>
            <w:sz w:val="18"/>
            <w:szCs w:val="18"/>
            <w:u w:val="single"/>
            <w:lang w:eastAsia="pt-BR"/>
          </w:rPr>
          <w:t>1. DO OBJETO</w:t>
        </w:r>
      </w:hyperlink>
    </w:p>
    <w:p w14:paraId="2BBD9626" w14:textId="77777777" w:rsidR="003D577F" w:rsidRPr="00592295" w:rsidRDefault="008612CC" w:rsidP="00005CD4">
      <w:pPr>
        <w:spacing w:after="165" w:line="240" w:lineRule="auto"/>
        <w:jc w:val="both"/>
        <w:rPr>
          <w:rFonts w:ascii="Arial" w:eastAsia="Times New Roman" w:hAnsi="Arial" w:cs="Arial"/>
          <w:color w:val="000000"/>
          <w:sz w:val="18"/>
          <w:szCs w:val="18"/>
          <w:lang w:eastAsia="pt-BR"/>
        </w:rPr>
      </w:pPr>
      <w:hyperlink r:id="rId9" w:anchor="_Toc135469224" w:tgtFrame="_blank" w:history="1">
        <w:r w:rsidR="003D577F" w:rsidRPr="00592295">
          <w:rPr>
            <w:rFonts w:ascii="Arial" w:eastAsia="Times New Roman" w:hAnsi="Arial" w:cs="Arial"/>
            <w:color w:val="000080"/>
            <w:sz w:val="18"/>
            <w:szCs w:val="18"/>
            <w:u w:val="single"/>
            <w:lang w:eastAsia="pt-BR"/>
          </w:rPr>
          <w:t>2. DO REGISTRO DE PREÇOS</w:t>
        </w:r>
      </w:hyperlink>
    </w:p>
    <w:p w14:paraId="233600E1" w14:textId="77777777" w:rsidR="003D577F" w:rsidRPr="00592295" w:rsidRDefault="008612CC" w:rsidP="00005CD4">
      <w:pPr>
        <w:spacing w:after="165" w:line="240" w:lineRule="auto"/>
        <w:jc w:val="both"/>
        <w:rPr>
          <w:rFonts w:ascii="Arial" w:eastAsia="Times New Roman" w:hAnsi="Arial" w:cs="Arial"/>
          <w:color w:val="000000"/>
          <w:sz w:val="18"/>
          <w:szCs w:val="18"/>
          <w:lang w:eastAsia="pt-BR"/>
        </w:rPr>
      </w:pPr>
      <w:hyperlink r:id="rId10" w:anchor="_Toc135469225" w:tgtFrame="_blank" w:history="1">
        <w:r w:rsidR="003D577F" w:rsidRPr="00592295">
          <w:rPr>
            <w:rFonts w:ascii="Arial" w:eastAsia="Times New Roman" w:hAnsi="Arial" w:cs="Arial"/>
            <w:color w:val="000080"/>
            <w:sz w:val="18"/>
            <w:szCs w:val="18"/>
            <w:u w:val="single"/>
            <w:lang w:eastAsia="pt-BR"/>
          </w:rPr>
          <w:t>3. DA PARTICIPAÇÃO NA LICITAÇÃO</w:t>
        </w:r>
      </w:hyperlink>
    </w:p>
    <w:p w14:paraId="69CC7FBE" w14:textId="77777777" w:rsidR="003D577F" w:rsidRPr="00592295" w:rsidRDefault="008612CC" w:rsidP="00005CD4">
      <w:pPr>
        <w:spacing w:after="165" w:line="240" w:lineRule="auto"/>
        <w:jc w:val="both"/>
        <w:rPr>
          <w:rFonts w:ascii="Arial" w:eastAsia="Times New Roman" w:hAnsi="Arial" w:cs="Arial"/>
          <w:color w:val="000000"/>
          <w:sz w:val="18"/>
          <w:szCs w:val="18"/>
          <w:lang w:eastAsia="pt-BR"/>
        </w:rPr>
      </w:pPr>
      <w:hyperlink r:id="rId11" w:anchor="_Toc135469226" w:tgtFrame="_blank" w:history="1">
        <w:r w:rsidR="003D577F" w:rsidRPr="00592295">
          <w:rPr>
            <w:rFonts w:ascii="Arial" w:eastAsia="Times New Roman" w:hAnsi="Arial" w:cs="Arial"/>
            <w:color w:val="000080"/>
            <w:sz w:val="18"/>
            <w:szCs w:val="18"/>
            <w:u w:val="single"/>
            <w:lang w:eastAsia="pt-BR"/>
          </w:rPr>
          <w:t>4. DA APRESENTAÇÃO DA PROPOSTA E DOS DOCUMENTOS DE HABILITAÇÃO</w:t>
        </w:r>
      </w:hyperlink>
    </w:p>
    <w:p w14:paraId="654D8B37" w14:textId="77777777" w:rsidR="003D577F" w:rsidRPr="00592295" w:rsidRDefault="008612CC" w:rsidP="00005CD4">
      <w:pPr>
        <w:spacing w:after="165" w:line="240" w:lineRule="auto"/>
        <w:jc w:val="both"/>
        <w:rPr>
          <w:rFonts w:ascii="Arial" w:eastAsia="Times New Roman" w:hAnsi="Arial" w:cs="Arial"/>
          <w:color w:val="000000"/>
          <w:sz w:val="18"/>
          <w:szCs w:val="18"/>
          <w:lang w:eastAsia="pt-BR"/>
        </w:rPr>
      </w:pPr>
      <w:hyperlink r:id="rId12" w:anchor="_Toc135469227" w:tgtFrame="_blank" w:history="1">
        <w:r w:rsidR="003D577F" w:rsidRPr="00592295">
          <w:rPr>
            <w:rFonts w:ascii="Arial" w:eastAsia="Times New Roman" w:hAnsi="Arial" w:cs="Arial"/>
            <w:color w:val="000080"/>
            <w:sz w:val="18"/>
            <w:szCs w:val="18"/>
            <w:u w:val="single"/>
            <w:lang w:eastAsia="pt-BR"/>
          </w:rPr>
          <w:t>5. DO PREENCHIMENTO DA PROPOSTA</w:t>
        </w:r>
      </w:hyperlink>
    </w:p>
    <w:p w14:paraId="6AE2AC19" w14:textId="77777777" w:rsidR="003D577F" w:rsidRPr="00592295" w:rsidRDefault="008612CC" w:rsidP="00005CD4">
      <w:pPr>
        <w:spacing w:after="165" w:line="240" w:lineRule="auto"/>
        <w:jc w:val="both"/>
        <w:rPr>
          <w:rFonts w:ascii="Arial" w:eastAsia="Times New Roman" w:hAnsi="Arial" w:cs="Arial"/>
          <w:color w:val="000000"/>
          <w:sz w:val="18"/>
          <w:szCs w:val="18"/>
          <w:lang w:eastAsia="pt-BR"/>
        </w:rPr>
      </w:pPr>
      <w:hyperlink r:id="rId13" w:anchor="_Toc135469228" w:tgtFrame="_blank" w:history="1">
        <w:r w:rsidR="003D577F" w:rsidRPr="00592295">
          <w:rPr>
            <w:rFonts w:ascii="Arial" w:eastAsia="Times New Roman" w:hAnsi="Arial" w:cs="Arial"/>
            <w:color w:val="000080"/>
            <w:sz w:val="18"/>
            <w:szCs w:val="18"/>
            <w:u w:val="single"/>
            <w:lang w:eastAsia="pt-BR"/>
          </w:rPr>
          <w:t>6. DA ABERTURA DA SESSÃO, CLASSIFICAÇÃO DAS PROPOSTAS E FORMULAÇÃO DE LANCES</w:t>
        </w:r>
      </w:hyperlink>
    </w:p>
    <w:p w14:paraId="14F1233C" w14:textId="77777777" w:rsidR="003D577F" w:rsidRPr="00592295" w:rsidRDefault="008612CC" w:rsidP="00005CD4">
      <w:pPr>
        <w:spacing w:after="165" w:line="240" w:lineRule="auto"/>
        <w:jc w:val="both"/>
        <w:rPr>
          <w:rFonts w:ascii="Arial" w:eastAsia="Times New Roman" w:hAnsi="Arial" w:cs="Arial"/>
          <w:color w:val="000000"/>
          <w:sz w:val="18"/>
          <w:szCs w:val="18"/>
          <w:lang w:eastAsia="pt-BR"/>
        </w:rPr>
      </w:pPr>
      <w:hyperlink r:id="rId14" w:anchor="_Toc135469229" w:tgtFrame="_blank" w:history="1">
        <w:r w:rsidR="003D577F" w:rsidRPr="00592295">
          <w:rPr>
            <w:rFonts w:ascii="Arial" w:eastAsia="Times New Roman" w:hAnsi="Arial" w:cs="Arial"/>
            <w:color w:val="000080"/>
            <w:sz w:val="18"/>
            <w:szCs w:val="18"/>
            <w:u w:val="single"/>
            <w:lang w:eastAsia="pt-BR"/>
          </w:rPr>
          <w:t>7. DA FASE DE JULGAMENTO</w:t>
        </w:r>
      </w:hyperlink>
    </w:p>
    <w:p w14:paraId="01E17ADC" w14:textId="77777777" w:rsidR="003D577F" w:rsidRPr="00592295" w:rsidRDefault="008612CC" w:rsidP="00005CD4">
      <w:pPr>
        <w:spacing w:after="165" w:line="240" w:lineRule="auto"/>
        <w:jc w:val="both"/>
        <w:rPr>
          <w:rFonts w:ascii="Arial" w:eastAsia="Times New Roman" w:hAnsi="Arial" w:cs="Arial"/>
          <w:color w:val="000000"/>
          <w:sz w:val="18"/>
          <w:szCs w:val="18"/>
          <w:lang w:eastAsia="pt-BR"/>
        </w:rPr>
      </w:pPr>
      <w:hyperlink r:id="rId15" w:anchor="_Toc135469230" w:tgtFrame="_blank" w:history="1">
        <w:r w:rsidR="003D577F" w:rsidRPr="00592295">
          <w:rPr>
            <w:rFonts w:ascii="Arial" w:eastAsia="Times New Roman" w:hAnsi="Arial" w:cs="Arial"/>
            <w:color w:val="000080"/>
            <w:sz w:val="18"/>
            <w:szCs w:val="18"/>
            <w:u w:val="single"/>
            <w:lang w:eastAsia="pt-BR"/>
          </w:rPr>
          <w:t>8. DA FASE DE HABILITAÇÃO</w:t>
        </w:r>
      </w:hyperlink>
    </w:p>
    <w:p w14:paraId="4232F707" w14:textId="77777777" w:rsidR="003D577F" w:rsidRPr="00592295" w:rsidRDefault="008612CC" w:rsidP="00005CD4">
      <w:pPr>
        <w:spacing w:after="165" w:line="240" w:lineRule="auto"/>
        <w:jc w:val="both"/>
        <w:rPr>
          <w:rFonts w:ascii="Arial" w:eastAsia="Times New Roman" w:hAnsi="Arial" w:cs="Arial"/>
          <w:color w:val="000000"/>
          <w:sz w:val="18"/>
          <w:szCs w:val="18"/>
          <w:lang w:eastAsia="pt-BR"/>
        </w:rPr>
      </w:pPr>
      <w:hyperlink r:id="rId16" w:anchor="_Toc135469231" w:tgtFrame="_blank" w:history="1">
        <w:r w:rsidR="003D577F" w:rsidRPr="00592295">
          <w:rPr>
            <w:rFonts w:ascii="Arial" w:eastAsia="Times New Roman" w:hAnsi="Arial" w:cs="Arial"/>
            <w:color w:val="000080"/>
            <w:sz w:val="18"/>
            <w:szCs w:val="18"/>
            <w:u w:val="single"/>
            <w:lang w:eastAsia="pt-BR"/>
          </w:rPr>
          <w:t>9. DA ATA DE REGISTRO DE PREÇOS</w:t>
        </w:r>
      </w:hyperlink>
    </w:p>
    <w:p w14:paraId="383BAEB9" w14:textId="77777777" w:rsidR="003D577F" w:rsidRPr="00592295" w:rsidRDefault="008612CC" w:rsidP="00005CD4">
      <w:pPr>
        <w:spacing w:after="165" w:line="240" w:lineRule="auto"/>
        <w:jc w:val="both"/>
        <w:rPr>
          <w:rFonts w:ascii="Arial" w:eastAsia="Times New Roman" w:hAnsi="Arial" w:cs="Arial"/>
          <w:color w:val="000000"/>
          <w:sz w:val="18"/>
          <w:szCs w:val="18"/>
          <w:lang w:eastAsia="pt-BR"/>
        </w:rPr>
      </w:pPr>
      <w:hyperlink r:id="rId17" w:anchor="_Toc135469232" w:tgtFrame="_blank" w:history="1">
        <w:r w:rsidR="003D577F" w:rsidRPr="00592295">
          <w:rPr>
            <w:rFonts w:ascii="Arial" w:eastAsia="Times New Roman" w:hAnsi="Arial" w:cs="Arial"/>
            <w:color w:val="000080"/>
            <w:sz w:val="18"/>
            <w:szCs w:val="18"/>
            <w:u w:val="single"/>
            <w:lang w:eastAsia="pt-BR"/>
          </w:rPr>
          <w:t>10. DA FORMAÇÃO DO CADASTRO DE RESERVA</w:t>
        </w:r>
      </w:hyperlink>
    </w:p>
    <w:p w14:paraId="64AABE41" w14:textId="77777777" w:rsidR="003D577F" w:rsidRPr="00592295" w:rsidRDefault="008612CC" w:rsidP="00005CD4">
      <w:pPr>
        <w:spacing w:after="165" w:line="240" w:lineRule="auto"/>
        <w:jc w:val="both"/>
        <w:rPr>
          <w:rFonts w:ascii="Arial" w:eastAsia="Times New Roman" w:hAnsi="Arial" w:cs="Arial"/>
          <w:color w:val="000000"/>
          <w:sz w:val="18"/>
          <w:szCs w:val="18"/>
          <w:lang w:eastAsia="pt-BR"/>
        </w:rPr>
      </w:pPr>
      <w:hyperlink r:id="rId18" w:anchor="_Toc135469233" w:tgtFrame="_blank" w:history="1">
        <w:r w:rsidR="003D577F" w:rsidRPr="00592295">
          <w:rPr>
            <w:rFonts w:ascii="Arial" w:eastAsia="Times New Roman" w:hAnsi="Arial" w:cs="Arial"/>
            <w:color w:val="000080"/>
            <w:sz w:val="18"/>
            <w:szCs w:val="18"/>
            <w:u w:val="single"/>
            <w:lang w:eastAsia="pt-BR"/>
          </w:rPr>
          <w:t>11. DOS RECURSOS</w:t>
        </w:r>
      </w:hyperlink>
    </w:p>
    <w:p w14:paraId="0551B5A8" w14:textId="77777777" w:rsidR="003D577F" w:rsidRPr="00592295" w:rsidRDefault="008612CC" w:rsidP="00005CD4">
      <w:pPr>
        <w:spacing w:after="165" w:line="240" w:lineRule="auto"/>
        <w:jc w:val="both"/>
        <w:rPr>
          <w:rFonts w:ascii="Arial" w:eastAsia="Times New Roman" w:hAnsi="Arial" w:cs="Arial"/>
          <w:color w:val="000000"/>
          <w:sz w:val="18"/>
          <w:szCs w:val="18"/>
          <w:lang w:eastAsia="pt-BR"/>
        </w:rPr>
      </w:pPr>
      <w:hyperlink r:id="rId19" w:anchor="_Toc135469234" w:tgtFrame="_blank" w:history="1">
        <w:r w:rsidR="003D577F" w:rsidRPr="00592295">
          <w:rPr>
            <w:rFonts w:ascii="Arial" w:eastAsia="Times New Roman" w:hAnsi="Arial" w:cs="Arial"/>
            <w:color w:val="000080"/>
            <w:sz w:val="18"/>
            <w:szCs w:val="18"/>
            <w:u w:val="single"/>
            <w:lang w:eastAsia="pt-BR"/>
          </w:rPr>
          <w:t>12. DAS INFRAÇÕES ADMINISTRATIVAS E SANÇÕES</w:t>
        </w:r>
      </w:hyperlink>
    </w:p>
    <w:p w14:paraId="2AB2B30B" w14:textId="77777777" w:rsidR="003D577F" w:rsidRPr="00592295" w:rsidRDefault="008612CC" w:rsidP="00005CD4">
      <w:pPr>
        <w:spacing w:after="165" w:line="240" w:lineRule="auto"/>
        <w:jc w:val="both"/>
        <w:rPr>
          <w:rFonts w:ascii="Arial" w:eastAsia="Times New Roman" w:hAnsi="Arial" w:cs="Arial"/>
          <w:color w:val="000000"/>
          <w:sz w:val="18"/>
          <w:szCs w:val="18"/>
          <w:lang w:eastAsia="pt-BR"/>
        </w:rPr>
      </w:pPr>
      <w:hyperlink r:id="rId20" w:anchor="_Toc135469235" w:tgtFrame="_blank" w:history="1">
        <w:r w:rsidR="003D577F" w:rsidRPr="00592295">
          <w:rPr>
            <w:rFonts w:ascii="Arial" w:eastAsia="Times New Roman" w:hAnsi="Arial" w:cs="Arial"/>
            <w:color w:val="000080"/>
            <w:sz w:val="18"/>
            <w:szCs w:val="18"/>
            <w:u w:val="single"/>
            <w:lang w:eastAsia="pt-BR"/>
          </w:rPr>
          <w:t>13. DA IMPUGNAÇÃO AO EDITAL E DO PEDIDO DE ESCLARECIMENTO</w:t>
        </w:r>
      </w:hyperlink>
    </w:p>
    <w:p w14:paraId="534E3B78" w14:textId="1C61DE49" w:rsidR="00CE5069" w:rsidRDefault="008612CC" w:rsidP="00303F65">
      <w:pPr>
        <w:spacing w:after="165" w:line="240" w:lineRule="auto"/>
        <w:jc w:val="both"/>
        <w:rPr>
          <w:rFonts w:ascii="Arial" w:eastAsia="Times New Roman" w:hAnsi="Arial" w:cs="Arial"/>
          <w:b/>
          <w:bCs/>
          <w:sz w:val="18"/>
          <w:szCs w:val="18"/>
          <w:lang w:eastAsia="pt-BR"/>
        </w:rPr>
      </w:pPr>
      <w:hyperlink r:id="rId21" w:anchor="_Toc135469236" w:tgtFrame="_blank" w:history="1">
        <w:r w:rsidR="003D577F" w:rsidRPr="00592295">
          <w:rPr>
            <w:rFonts w:ascii="Arial" w:eastAsia="Times New Roman" w:hAnsi="Arial" w:cs="Arial"/>
            <w:color w:val="000080"/>
            <w:sz w:val="18"/>
            <w:szCs w:val="18"/>
            <w:u w:val="single"/>
            <w:lang w:eastAsia="pt-BR"/>
          </w:rPr>
          <w:t>14. DAS DISPOSIÇÕES GERAIS</w:t>
        </w:r>
      </w:hyperlink>
    </w:p>
    <w:p w14:paraId="23399079" w14:textId="77777777" w:rsidR="00303F65" w:rsidRDefault="00303F65">
      <w:pPr>
        <w:rPr>
          <w:rFonts w:ascii="Arial" w:eastAsia="Times New Roman" w:hAnsi="Arial" w:cs="Arial"/>
          <w:b/>
          <w:bCs/>
          <w:sz w:val="18"/>
          <w:szCs w:val="18"/>
          <w:lang w:eastAsia="pt-BR"/>
        </w:rPr>
      </w:pPr>
      <w:r>
        <w:rPr>
          <w:rFonts w:ascii="Arial" w:eastAsia="Times New Roman" w:hAnsi="Arial" w:cs="Arial"/>
          <w:b/>
          <w:bCs/>
          <w:sz w:val="18"/>
          <w:szCs w:val="18"/>
          <w:lang w:eastAsia="pt-BR"/>
        </w:rPr>
        <w:br w:type="page"/>
      </w:r>
    </w:p>
    <w:p w14:paraId="2D106427" w14:textId="71995AB4" w:rsidR="00E92B85" w:rsidRPr="00592295" w:rsidRDefault="00E92B85" w:rsidP="007C3DAC">
      <w:pPr>
        <w:spacing w:before="285" w:after="285" w:line="240" w:lineRule="auto"/>
        <w:ind w:firstLine="567"/>
        <w:jc w:val="center"/>
        <w:rPr>
          <w:rFonts w:ascii="Arial" w:eastAsia="Times New Roman" w:hAnsi="Arial" w:cs="Arial"/>
          <w:sz w:val="18"/>
          <w:szCs w:val="18"/>
          <w:lang w:eastAsia="pt-BR"/>
        </w:rPr>
      </w:pPr>
      <w:r w:rsidRPr="00592295">
        <w:rPr>
          <w:rFonts w:ascii="Arial" w:eastAsia="Times New Roman" w:hAnsi="Arial" w:cs="Arial"/>
          <w:b/>
          <w:bCs/>
          <w:sz w:val="18"/>
          <w:szCs w:val="18"/>
          <w:lang w:eastAsia="pt-BR"/>
        </w:rPr>
        <w:lastRenderedPageBreak/>
        <w:t>HOSPITAL DAS CLÍNICAS DA FACULDADE DE MEDICINA DA UNIVERSIDADE DE SÃO PAULO HCFMUSP</w:t>
      </w:r>
    </w:p>
    <w:p w14:paraId="68DEFFA3" w14:textId="48825196" w:rsidR="00E92B85" w:rsidRPr="00592295" w:rsidRDefault="00E92B85" w:rsidP="007C3DAC">
      <w:pPr>
        <w:spacing w:before="285" w:after="285" w:line="240" w:lineRule="auto"/>
        <w:ind w:firstLine="567"/>
        <w:jc w:val="center"/>
        <w:rPr>
          <w:rFonts w:ascii="Arial" w:eastAsia="Times New Roman" w:hAnsi="Arial" w:cs="Arial"/>
          <w:sz w:val="18"/>
          <w:szCs w:val="18"/>
          <w:lang w:eastAsia="pt-BR"/>
        </w:rPr>
      </w:pPr>
      <w:r w:rsidRPr="00592295">
        <w:rPr>
          <w:rFonts w:ascii="Arial" w:eastAsia="Times New Roman" w:hAnsi="Arial" w:cs="Arial"/>
          <w:b/>
          <w:bCs/>
          <w:sz w:val="18"/>
          <w:szCs w:val="18"/>
          <w:lang w:eastAsia="pt-BR"/>
        </w:rPr>
        <w:t xml:space="preserve">PREGÃO ELETRÔNICO Nº </w:t>
      </w:r>
      <w:r w:rsidR="0062504D">
        <w:rPr>
          <w:rFonts w:ascii="Arial" w:eastAsia="Times New Roman" w:hAnsi="Arial" w:cs="Arial"/>
          <w:b/>
          <w:bCs/>
          <w:sz w:val="18"/>
          <w:szCs w:val="18"/>
          <w:lang w:eastAsia="pt-BR"/>
        </w:rPr>
        <w:t>90334/2026</w:t>
      </w:r>
    </w:p>
    <w:p w14:paraId="12894868" w14:textId="5A3BFAB1" w:rsidR="003D577F" w:rsidRPr="00E116DD" w:rsidRDefault="00E92B85" w:rsidP="00CE5069">
      <w:pPr>
        <w:spacing w:before="285" w:after="285" w:line="240" w:lineRule="auto"/>
        <w:ind w:firstLine="567"/>
        <w:jc w:val="center"/>
        <w:rPr>
          <w:rFonts w:ascii="Arial" w:eastAsia="Times New Roman" w:hAnsi="Arial" w:cs="Arial"/>
          <w:sz w:val="18"/>
          <w:szCs w:val="18"/>
          <w:lang w:eastAsia="pt-BR"/>
        </w:rPr>
      </w:pPr>
      <w:r w:rsidRPr="00E116DD">
        <w:rPr>
          <w:rFonts w:ascii="Arial" w:eastAsia="Times New Roman" w:hAnsi="Arial" w:cs="Arial"/>
          <w:sz w:val="18"/>
          <w:szCs w:val="18"/>
          <w:lang w:eastAsia="pt-BR"/>
        </w:rPr>
        <w:t>(</w:t>
      </w:r>
      <w:r w:rsidRPr="00E116DD">
        <w:rPr>
          <w:rFonts w:ascii="Arial" w:eastAsia="Times New Roman" w:hAnsi="Arial" w:cs="Arial"/>
          <w:sz w:val="18"/>
          <w:szCs w:val="18"/>
          <w:u w:val="single"/>
          <w:lang w:eastAsia="pt-BR"/>
        </w:rPr>
        <w:t xml:space="preserve">Processo Administrativo SEI n° </w:t>
      </w:r>
      <w:r w:rsidR="00F20451" w:rsidRPr="00F20451">
        <w:rPr>
          <w:rFonts w:ascii="Arial" w:eastAsia="Times New Roman" w:hAnsi="Arial" w:cs="Arial"/>
          <w:sz w:val="18"/>
          <w:szCs w:val="18"/>
          <w:u w:val="single"/>
          <w:lang w:eastAsia="pt-BR"/>
        </w:rPr>
        <w:t>145.00002486/2026-31</w:t>
      </w:r>
      <w:r w:rsidR="00C11B71" w:rsidRPr="00F20451">
        <w:rPr>
          <w:rFonts w:ascii="Arial" w:eastAsia="Times New Roman" w:hAnsi="Arial" w:cs="Arial"/>
          <w:sz w:val="18"/>
          <w:szCs w:val="18"/>
          <w:u w:val="single"/>
          <w:lang w:eastAsia="pt-BR"/>
        </w:rPr>
        <w:t>)</w:t>
      </w:r>
    </w:p>
    <w:p w14:paraId="37AB81F8" w14:textId="087E37BF" w:rsidR="003D577F" w:rsidRPr="00592295" w:rsidRDefault="00371100" w:rsidP="00005CD4">
      <w:pPr>
        <w:spacing w:after="165" w:line="240" w:lineRule="auto"/>
        <w:jc w:val="both"/>
        <w:rPr>
          <w:rFonts w:ascii="Arial" w:eastAsia="Times New Roman" w:hAnsi="Arial" w:cs="Arial"/>
          <w:color w:val="000000"/>
          <w:sz w:val="18"/>
          <w:szCs w:val="18"/>
          <w:lang w:eastAsia="pt-BR"/>
        </w:rPr>
      </w:pPr>
      <w:r w:rsidRPr="00371100">
        <w:rPr>
          <w:rFonts w:ascii="Arial" w:eastAsia="Times New Roman" w:hAnsi="Arial" w:cs="Arial"/>
          <w:color w:val="000000"/>
          <w:sz w:val="18"/>
          <w:szCs w:val="18"/>
          <w:lang w:eastAsia="pt-BR"/>
        </w:rPr>
        <w:t xml:space="preserve">Torna-se público que o </w:t>
      </w:r>
      <w:r w:rsidRPr="00371100">
        <w:rPr>
          <w:rFonts w:ascii="Arial" w:eastAsia="Times New Roman" w:hAnsi="Arial" w:cs="Arial"/>
          <w:b/>
          <w:bCs/>
          <w:color w:val="000000"/>
          <w:sz w:val="18"/>
          <w:szCs w:val="18"/>
          <w:lang w:eastAsia="pt-BR"/>
        </w:rPr>
        <w:t>HOSPITAL DAS CLÍNICAS DA FACULDADE DE MEDICINA DA UNIVERSIDADE DE SÃO PAULO – HCFMUSP</w:t>
      </w:r>
      <w:r w:rsidRPr="00371100">
        <w:rPr>
          <w:rFonts w:ascii="Arial" w:eastAsia="Times New Roman" w:hAnsi="Arial" w:cs="Arial"/>
          <w:color w:val="000000"/>
          <w:sz w:val="18"/>
          <w:szCs w:val="18"/>
          <w:lang w:eastAsia="pt-BR"/>
        </w:rPr>
        <w:t xml:space="preserve">, por meio do Núcleo de Infraestrutura e Logística - NILO, sediado no 2º andar do Prédio da Administração, na Rua Dr. Ovídio Pires de Campos número 225, bairro Cerqueira César, São Paulo/SP, CEP 05403-010, realizará licitação, na modalidade PREGÃO, na forma ELETRÔNICA, nos termos da </w:t>
      </w:r>
      <w:r w:rsidRPr="00371100">
        <w:rPr>
          <w:rFonts w:ascii="Arial" w:eastAsia="Times New Roman" w:hAnsi="Arial" w:cs="Arial"/>
          <w:color w:val="000000"/>
          <w:sz w:val="18"/>
          <w:szCs w:val="18"/>
          <w:u w:val="single"/>
          <w:lang w:eastAsia="pt-BR"/>
        </w:rPr>
        <w:t>Lei nº 14.133, de 1º de abril de 2021</w:t>
      </w:r>
      <w:r w:rsidRPr="00371100">
        <w:rPr>
          <w:rFonts w:ascii="Arial" w:eastAsia="Times New Roman" w:hAnsi="Arial" w:cs="Arial"/>
          <w:color w:val="000000"/>
          <w:sz w:val="18"/>
          <w:szCs w:val="18"/>
          <w:lang w:eastAsia="pt-BR"/>
        </w:rPr>
        <w:t xml:space="preserve">, do </w:t>
      </w:r>
      <w:r w:rsidRPr="00371100">
        <w:rPr>
          <w:rFonts w:ascii="Arial" w:eastAsia="Times New Roman" w:hAnsi="Arial" w:cs="Arial"/>
          <w:color w:val="000000"/>
          <w:sz w:val="18"/>
          <w:szCs w:val="18"/>
          <w:u w:val="single"/>
          <w:lang w:eastAsia="pt-BR"/>
        </w:rPr>
        <w:t>Decreto estadual nº 67.608, de 27 de março de 2023</w:t>
      </w:r>
      <w:r w:rsidRPr="00371100">
        <w:rPr>
          <w:rFonts w:ascii="Arial" w:eastAsia="Times New Roman" w:hAnsi="Arial" w:cs="Arial"/>
          <w:color w:val="000000"/>
          <w:sz w:val="18"/>
          <w:szCs w:val="18"/>
          <w:lang w:eastAsia="pt-BR"/>
        </w:rPr>
        <w:t xml:space="preserve">, da </w:t>
      </w:r>
      <w:r w:rsidRPr="00371100">
        <w:rPr>
          <w:rFonts w:ascii="Arial" w:eastAsia="Times New Roman" w:hAnsi="Arial" w:cs="Arial"/>
          <w:color w:val="000000"/>
          <w:sz w:val="18"/>
          <w:szCs w:val="18"/>
          <w:u w:val="single"/>
          <w:lang w:eastAsia="pt-BR"/>
        </w:rPr>
        <w:t>Instrução Normativa SEGES/ME nº 73, de 30 de setembro de 2022</w:t>
      </w:r>
      <w:r w:rsidRPr="00371100">
        <w:rPr>
          <w:rFonts w:ascii="Arial" w:eastAsia="Times New Roman" w:hAnsi="Arial" w:cs="Arial"/>
          <w:color w:val="000000"/>
          <w:sz w:val="18"/>
          <w:szCs w:val="18"/>
          <w:lang w:eastAsia="pt-BR"/>
        </w:rPr>
        <w:t>,e demais normas da legislação aplicável e, ainda, de acordo com as condições estabelecidas neste Edital e em seus Anexos, observando-se as subdivisões subsequentes na forma de itens que compõem este instrumento.</w:t>
      </w:r>
    </w:p>
    <w:p w14:paraId="49A5C5CF" w14:textId="77777777" w:rsidR="003D577F" w:rsidRPr="00701D14" w:rsidRDefault="003D577F" w:rsidP="004E14D6">
      <w:pPr>
        <w:pStyle w:val="PargrafodaLista"/>
        <w:numPr>
          <w:ilvl w:val="0"/>
          <w:numId w:val="5"/>
        </w:numPr>
        <w:spacing w:after="165"/>
        <w:ind w:left="426" w:hanging="426"/>
        <w:rPr>
          <w:rFonts w:ascii="Arial" w:eastAsia="Times New Roman" w:hAnsi="Arial" w:cs="Arial"/>
          <w:color w:val="000000"/>
          <w:sz w:val="18"/>
          <w:szCs w:val="18"/>
          <w:lang w:eastAsia="pt-BR"/>
        </w:rPr>
      </w:pPr>
      <w:bookmarkStart w:id="1" w:name="_Toc135469223"/>
      <w:r w:rsidRPr="00701D14">
        <w:rPr>
          <w:rFonts w:ascii="Arial" w:eastAsia="Times New Roman" w:hAnsi="Arial" w:cs="Arial"/>
          <w:b/>
          <w:bCs/>
          <w:color w:val="000000"/>
          <w:sz w:val="18"/>
          <w:szCs w:val="18"/>
          <w:lang w:eastAsia="pt-BR"/>
        </w:rPr>
        <w:t>DO OBJETO</w:t>
      </w:r>
      <w:bookmarkEnd w:id="1"/>
    </w:p>
    <w:p w14:paraId="77A2714F" w14:textId="60FEE9E1" w:rsidR="009C641A" w:rsidRDefault="00371100" w:rsidP="009C641A">
      <w:pPr>
        <w:pStyle w:val="TableParagraph"/>
        <w:spacing w:before="1"/>
        <w:ind w:left="22"/>
        <w:jc w:val="both"/>
        <w:rPr>
          <w:rFonts w:ascii="Calibri" w:hAnsi="Calibri" w:cs="Calibri"/>
          <w:color w:val="000000"/>
        </w:rPr>
      </w:pPr>
      <w:r w:rsidRPr="00371100">
        <w:rPr>
          <w:rFonts w:ascii="Arial" w:eastAsia="Times New Roman" w:hAnsi="Arial" w:cs="Arial"/>
          <w:color w:val="000000"/>
          <w:sz w:val="18"/>
          <w:szCs w:val="18"/>
          <w:lang w:eastAsia="pt-BR"/>
        </w:rPr>
        <w:t>1.1. O objeto da presente licitação é a constituição de Sistema de Registro de Preços – SRP para contratação(ões) futura(s) de</w:t>
      </w:r>
      <w:r w:rsidR="00925530" w:rsidRPr="00925530">
        <w:rPr>
          <w:rFonts w:ascii="Arial" w:hAnsi="Arial" w:cs="Arial"/>
          <w:color w:val="000000"/>
          <w:sz w:val="18"/>
          <w:szCs w:val="18"/>
        </w:rPr>
        <w:t> </w:t>
      </w:r>
      <w:r w:rsidR="00F20451" w:rsidRPr="00F20451">
        <w:rPr>
          <w:rFonts w:ascii="Arial" w:hAnsi="Arial" w:cs="Arial"/>
          <w:b/>
          <w:sz w:val="18"/>
          <w:szCs w:val="18"/>
        </w:rPr>
        <w:t>AVENTAL DE PROTECAO DE ASSISTENCIA AO PACIENTE</w:t>
      </w:r>
      <w:r w:rsidR="00925530" w:rsidRPr="00925530">
        <w:rPr>
          <w:rFonts w:ascii="Arial" w:hAnsi="Arial" w:cs="Arial"/>
          <w:color w:val="000000"/>
          <w:sz w:val="18"/>
          <w:szCs w:val="18"/>
        </w:rPr>
        <w:t>, </w:t>
      </w:r>
      <w:r w:rsidRPr="00371100">
        <w:rPr>
          <w:rFonts w:ascii="Arial" w:hAnsi="Arial" w:cs="Arial"/>
          <w:color w:val="000000"/>
          <w:sz w:val="18"/>
          <w:szCs w:val="18"/>
        </w:rPr>
        <w:t>conforme condições, quantidades e exigências estabelecidas neste Edital e seus Anexos</w:t>
      </w:r>
      <w:r w:rsidR="007638A6">
        <w:rPr>
          <w:rFonts w:ascii="Arial" w:hAnsi="Arial" w:cs="Arial"/>
          <w:color w:val="000000"/>
          <w:sz w:val="18"/>
          <w:szCs w:val="18"/>
        </w:rPr>
        <w:t xml:space="preserve">, </w:t>
      </w:r>
      <w:r w:rsidR="007638A6" w:rsidRPr="007638A6">
        <w:rPr>
          <w:rFonts w:ascii="Arial" w:hAnsi="Arial" w:cs="Arial"/>
          <w:color w:val="000000"/>
          <w:sz w:val="18"/>
          <w:szCs w:val="18"/>
        </w:rPr>
        <w:t>considerado(s) bem(ns) comum(ns) por se tratar de material de uso técnico – hospitalar com  especificações usuais no mercado.</w:t>
      </w:r>
    </w:p>
    <w:p w14:paraId="2DE1DF1C" w14:textId="77777777" w:rsidR="0085694F" w:rsidRPr="006C4E22" w:rsidRDefault="0085694F" w:rsidP="009C641A">
      <w:pPr>
        <w:pStyle w:val="TableParagraph"/>
        <w:spacing w:before="1"/>
        <w:ind w:left="22"/>
        <w:jc w:val="both"/>
        <w:rPr>
          <w:rFonts w:ascii="Arial" w:eastAsia="Times New Roman" w:hAnsi="Arial" w:cs="Arial"/>
          <w:b/>
          <w:bCs/>
          <w:color w:val="000000"/>
          <w:sz w:val="18"/>
          <w:szCs w:val="18"/>
          <w:lang w:eastAsia="pt-BR"/>
        </w:rPr>
      </w:pPr>
    </w:p>
    <w:p w14:paraId="36EE5D32" w14:textId="77AE7BB0" w:rsidR="000E4504" w:rsidRPr="00F20451" w:rsidRDefault="000E4504" w:rsidP="00005CD4">
      <w:pPr>
        <w:spacing w:after="165" w:line="240" w:lineRule="auto"/>
        <w:jc w:val="both"/>
        <w:rPr>
          <w:rFonts w:ascii="Arial" w:eastAsia="Times New Roman" w:hAnsi="Arial" w:cs="Arial"/>
          <w:sz w:val="18"/>
          <w:szCs w:val="18"/>
          <w:lang w:eastAsia="pt-BR"/>
        </w:rPr>
      </w:pPr>
      <w:bookmarkStart w:id="2" w:name="_Toc135469224"/>
      <w:r w:rsidRPr="00F20451">
        <w:rPr>
          <w:rFonts w:ascii="Arial" w:eastAsia="Times New Roman" w:hAnsi="Arial" w:cs="Arial"/>
          <w:sz w:val="18"/>
          <w:szCs w:val="18"/>
          <w:lang w:eastAsia="pt-BR"/>
        </w:rPr>
        <w:t>1.2. A licitação será realizada em único item.</w:t>
      </w:r>
    </w:p>
    <w:p w14:paraId="7C3A8406" w14:textId="26375658" w:rsidR="003D577F" w:rsidRPr="00701D14" w:rsidRDefault="003D577F" w:rsidP="004E14D6">
      <w:pPr>
        <w:pStyle w:val="PargrafodaLista"/>
        <w:numPr>
          <w:ilvl w:val="0"/>
          <w:numId w:val="5"/>
        </w:numPr>
        <w:spacing w:after="165"/>
        <w:ind w:left="284" w:hanging="284"/>
        <w:rPr>
          <w:rFonts w:ascii="Arial" w:eastAsia="Times New Roman" w:hAnsi="Arial" w:cs="Arial"/>
          <w:color w:val="000000"/>
          <w:sz w:val="18"/>
          <w:szCs w:val="18"/>
          <w:lang w:eastAsia="pt-BR"/>
        </w:rPr>
      </w:pPr>
      <w:r w:rsidRPr="00701D14">
        <w:rPr>
          <w:rFonts w:ascii="Arial" w:eastAsia="Times New Roman" w:hAnsi="Arial" w:cs="Arial"/>
          <w:b/>
          <w:bCs/>
          <w:color w:val="000000"/>
          <w:sz w:val="18"/>
          <w:szCs w:val="18"/>
          <w:lang w:eastAsia="pt-BR"/>
        </w:rPr>
        <w:t>DO REGISTRO DE PREÇOS</w:t>
      </w:r>
      <w:bookmarkEnd w:id="2"/>
    </w:p>
    <w:p w14:paraId="6BE7C7DF" w14:textId="3AF24E53" w:rsidR="003D577F" w:rsidRPr="000E4504" w:rsidRDefault="00371100" w:rsidP="00005CD4">
      <w:pPr>
        <w:spacing w:after="165" w:line="240" w:lineRule="auto"/>
        <w:jc w:val="both"/>
        <w:rPr>
          <w:rFonts w:ascii="Arial" w:eastAsia="Times New Roman" w:hAnsi="Arial" w:cs="Arial"/>
          <w:color w:val="000000"/>
          <w:sz w:val="18"/>
          <w:szCs w:val="18"/>
          <w:lang w:val="pt-PT" w:eastAsia="pt-BR"/>
        </w:rPr>
      </w:pPr>
      <w:r w:rsidRPr="00371100">
        <w:rPr>
          <w:rFonts w:ascii="Arial" w:eastAsia="Times New Roman" w:hAnsi="Arial" w:cs="Arial"/>
          <w:color w:val="000000"/>
          <w:sz w:val="18"/>
          <w:szCs w:val="18"/>
          <w:lang w:eastAsia="pt-BR"/>
        </w:rPr>
        <w:t xml:space="preserve">2.1. Trata-se de licitação para registro de preços, em que as regras referentes aos </w:t>
      </w:r>
      <w:r w:rsidR="008925A2" w:rsidRPr="00371100">
        <w:rPr>
          <w:rFonts w:ascii="Arial" w:eastAsia="Times New Roman" w:hAnsi="Arial" w:cs="Arial"/>
          <w:color w:val="000000"/>
          <w:sz w:val="18"/>
          <w:szCs w:val="18"/>
          <w:lang w:eastAsia="pt-BR"/>
        </w:rPr>
        <w:t>órgãos ou entidades gerenciadores</w:t>
      </w:r>
      <w:r w:rsidRPr="00371100">
        <w:rPr>
          <w:rFonts w:ascii="Arial" w:eastAsia="Times New Roman" w:hAnsi="Arial" w:cs="Arial"/>
          <w:color w:val="000000"/>
          <w:sz w:val="18"/>
          <w:szCs w:val="18"/>
          <w:lang w:eastAsia="pt-BR"/>
        </w:rPr>
        <w:t>(s), bem como a eventuais adesões são as que constam da minuta de Ata de Registro de Preços apresentada como Anexo deste Edital.</w:t>
      </w:r>
    </w:p>
    <w:p w14:paraId="35EBB338" w14:textId="77777777" w:rsidR="003D577F" w:rsidRPr="00592295" w:rsidRDefault="00701D14" w:rsidP="00005CD4">
      <w:pPr>
        <w:spacing w:after="165" w:line="240" w:lineRule="auto"/>
        <w:jc w:val="both"/>
        <w:rPr>
          <w:rFonts w:ascii="Arial" w:eastAsia="Times New Roman" w:hAnsi="Arial" w:cs="Arial"/>
          <w:color w:val="000000"/>
          <w:sz w:val="18"/>
          <w:szCs w:val="18"/>
          <w:lang w:eastAsia="pt-BR"/>
        </w:rPr>
      </w:pPr>
      <w:bookmarkStart w:id="3" w:name="_Toc135469225"/>
      <w:r>
        <w:rPr>
          <w:rFonts w:ascii="Arial" w:eastAsia="Times New Roman" w:hAnsi="Arial" w:cs="Arial"/>
          <w:b/>
          <w:bCs/>
          <w:color w:val="000000"/>
          <w:sz w:val="18"/>
          <w:szCs w:val="18"/>
          <w:lang w:eastAsia="pt-BR"/>
        </w:rPr>
        <w:t xml:space="preserve">3. </w:t>
      </w:r>
      <w:r w:rsidR="003D577F" w:rsidRPr="00592295">
        <w:rPr>
          <w:rFonts w:ascii="Arial" w:eastAsia="Times New Roman" w:hAnsi="Arial" w:cs="Arial"/>
          <w:b/>
          <w:bCs/>
          <w:color w:val="000000"/>
          <w:sz w:val="18"/>
          <w:szCs w:val="18"/>
          <w:lang w:eastAsia="pt-BR"/>
        </w:rPr>
        <w:t>DA PARTICIPAÇÃO NA LICITAÇÃO</w:t>
      </w:r>
      <w:bookmarkStart w:id="4" w:name="_Hlk135302270"/>
      <w:bookmarkEnd w:id="3"/>
    </w:p>
    <w:bookmarkEnd w:id="4"/>
    <w:p w14:paraId="0B0FB4EC" w14:textId="77777777" w:rsidR="000E4504" w:rsidRPr="000E4504" w:rsidRDefault="000E4504" w:rsidP="000E4504">
      <w:pPr>
        <w:spacing w:after="165" w:line="240" w:lineRule="auto"/>
        <w:jc w:val="both"/>
        <w:rPr>
          <w:rFonts w:ascii="Arial" w:eastAsia="Times New Roman" w:hAnsi="Arial" w:cs="Arial"/>
          <w:color w:val="000000"/>
          <w:sz w:val="18"/>
          <w:szCs w:val="18"/>
          <w:lang w:eastAsia="pt-BR"/>
        </w:rPr>
      </w:pPr>
      <w:r w:rsidRPr="000E4504">
        <w:rPr>
          <w:rFonts w:ascii="Arial" w:eastAsia="Times New Roman" w:hAnsi="Arial" w:cs="Arial"/>
          <w:color w:val="000000"/>
          <w:sz w:val="18"/>
          <w:szCs w:val="18"/>
          <w:lang w:eastAsia="pt-BR"/>
        </w:rPr>
        <w:t>3.1. Poderão participar deste Pregão os interessados que atuarem em atividade compatível com o objeto da licitação e que estiverem previamente credenciados no Sistema de Cadastramento Unificado de Fornecedores - Sicaf e no Sistema de Compras do Governo Federal (www.gov.br/compras).</w:t>
      </w:r>
    </w:p>
    <w:p w14:paraId="749C6E9D" w14:textId="77777777" w:rsidR="000E4504" w:rsidRPr="000E4504" w:rsidRDefault="000E4504" w:rsidP="000E4504">
      <w:pPr>
        <w:spacing w:after="165" w:line="240" w:lineRule="auto"/>
        <w:jc w:val="both"/>
        <w:rPr>
          <w:rFonts w:ascii="Arial" w:eastAsia="Times New Roman" w:hAnsi="Arial" w:cs="Arial"/>
          <w:color w:val="000000"/>
          <w:sz w:val="18"/>
          <w:szCs w:val="18"/>
          <w:lang w:eastAsia="pt-BR"/>
        </w:rPr>
      </w:pPr>
      <w:r w:rsidRPr="000E4504">
        <w:rPr>
          <w:rFonts w:ascii="Arial" w:eastAsia="Times New Roman" w:hAnsi="Arial" w:cs="Arial"/>
          <w:color w:val="000000"/>
          <w:sz w:val="18"/>
          <w:szCs w:val="18"/>
          <w:lang w:eastAsia="pt-BR"/>
        </w:rPr>
        <w:t>3.1.1. Os interessados deverão atender às condições exigidas no cadastramento no Sicaf até o 3º (terceiro) dia útil anterior à data prevista para recebimento das propostas.</w:t>
      </w:r>
    </w:p>
    <w:p w14:paraId="304C75AC" w14:textId="77777777" w:rsidR="000E4504" w:rsidRPr="000E4504" w:rsidRDefault="000E4504" w:rsidP="000E4504">
      <w:pPr>
        <w:spacing w:after="165" w:line="240" w:lineRule="auto"/>
        <w:jc w:val="both"/>
        <w:rPr>
          <w:rFonts w:ascii="Arial" w:eastAsia="Times New Roman" w:hAnsi="Arial" w:cs="Arial"/>
          <w:color w:val="000000"/>
          <w:sz w:val="18"/>
          <w:szCs w:val="18"/>
          <w:lang w:eastAsia="pt-BR"/>
        </w:rPr>
      </w:pPr>
      <w:r w:rsidRPr="000E4504">
        <w:rPr>
          <w:rFonts w:ascii="Arial" w:eastAsia="Times New Roman" w:hAnsi="Arial" w:cs="Arial"/>
          <w:color w:val="000000"/>
          <w:sz w:val="18"/>
          <w:szCs w:val="18"/>
          <w:lang w:eastAsia="pt-BR"/>
        </w:rPr>
        <w:t>3.1.2.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004B0C0C" w14:textId="77777777" w:rsidR="000E4504" w:rsidRPr="000E4504" w:rsidRDefault="000E4504" w:rsidP="000E4504">
      <w:pPr>
        <w:spacing w:after="165" w:line="240" w:lineRule="auto"/>
        <w:jc w:val="both"/>
        <w:rPr>
          <w:rFonts w:ascii="Arial" w:eastAsia="Times New Roman" w:hAnsi="Arial" w:cs="Arial"/>
          <w:color w:val="000000"/>
          <w:sz w:val="18"/>
          <w:szCs w:val="18"/>
          <w:lang w:eastAsia="pt-BR"/>
        </w:rPr>
      </w:pPr>
      <w:r w:rsidRPr="000E4504">
        <w:rPr>
          <w:rFonts w:ascii="Arial" w:eastAsia="Times New Roman" w:hAnsi="Arial" w:cs="Arial"/>
          <w:color w:val="000000"/>
          <w:sz w:val="18"/>
          <w:szCs w:val="18"/>
          <w:lang w:eastAsia="pt-BR"/>
        </w:rPr>
        <w:t>3.2. É de responsabilidade do cadastrado conferir a exatidão dos seus dados cadastrais nos Sistemas relacionados na subdivisão anterior e mantê-los atualizados junto aos órgãos responsáveis pela informação, devendo proceder, imediatamente, à correção ou à alteração dos registros tão logo identifique incorreção ou aqueles se tornem desatualizados.</w:t>
      </w:r>
    </w:p>
    <w:p w14:paraId="5A19E38D" w14:textId="77777777" w:rsidR="000E4504" w:rsidRPr="000E4504" w:rsidRDefault="000E4504" w:rsidP="000E4504">
      <w:pPr>
        <w:spacing w:after="165" w:line="240" w:lineRule="auto"/>
        <w:jc w:val="both"/>
        <w:rPr>
          <w:rFonts w:ascii="Arial" w:eastAsia="Times New Roman" w:hAnsi="Arial" w:cs="Arial"/>
          <w:color w:val="000000"/>
          <w:sz w:val="18"/>
          <w:szCs w:val="18"/>
          <w:lang w:eastAsia="pt-BR"/>
        </w:rPr>
      </w:pPr>
      <w:r w:rsidRPr="000E4504">
        <w:rPr>
          <w:rFonts w:ascii="Arial" w:eastAsia="Times New Roman" w:hAnsi="Arial" w:cs="Arial"/>
          <w:color w:val="000000"/>
          <w:sz w:val="18"/>
          <w:szCs w:val="18"/>
          <w:lang w:eastAsia="pt-BR"/>
        </w:rPr>
        <w:t>3.3. A não observância do disposto na subdivisão anterior poderá ensejar desclassificação no momento da habilitação.</w:t>
      </w:r>
    </w:p>
    <w:p w14:paraId="2E3B8519" w14:textId="77777777" w:rsidR="000E4504" w:rsidRPr="000E4504" w:rsidRDefault="000E4504" w:rsidP="000E4504">
      <w:pPr>
        <w:spacing w:after="165" w:line="240" w:lineRule="auto"/>
        <w:jc w:val="both"/>
        <w:rPr>
          <w:rFonts w:ascii="Arial" w:eastAsia="Times New Roman" w:hAnsi="Arial" w:cs="Arial"/>
          <w:color w:val="FF0000"/>
          <w:sz w:val="18"/>
          <w:szCs w:val="18"/>
          <w:lang w:eastAsia="pt-BR"/>
        </w:rPr>
      </w:pPr>
      <w:r w:rsidRPr="009E658D">
        <w:rPr>
          <w:rFonts w:ascii="Arial" w:eastAsia="Times New Roman" w:hAnsi="Arial" w:cs="Arial"/>
          <w:sz w:val="18"/>
          <w:szCs w:val="18"/>
          <w:lang w:eastAsia="pt-BR"/>
        </w:rPr>
        <w:t>3.4. Nos limites previstos no art. 4º da Lei nº 14.133, de 2021, e na Lei Complementar nº 123, de 2006, serão observadas, caso aplicáveis, as regras de tratamento favorecido para as microempresas e empresas de pequeno porte, bem como para as cooperativas que atendam ao disposto no art. 34 da Lei nº 11.488, de 15 de junho de 2007, e no art. 16 da Lei nº 14.133, de 2021, para o agricultor familiar, para o produtor rural pessoa física e para o microempreendedor individual – MEI.</w:t>
      </w:r>
    </w:p>
    <w:p w14:paraId="6DE62A3C" w14:textId="6C29F46C" w:rsidR="003D577F" w:rsidRPr="00592295" w:rsidRDefault="000E4504" w:rsidP="000E4504">
      <w:pPr>
        <w:spacing w:after="165" w:line="240" w:lineRule="auto"/>
        <w:jc w:val="both"/>
        <w:rPr>
          <w:rFonts w:ascii="Arial" w:eastAsia="Times New Roman" w:hAnsi="Arial" w:cs="Arial"/>
          <w:color w:val="000000"/>
          <w:sz w:val="18"/>
          <w:szCs w:val="18"/>
          <w:lang w:eastAsia="pt-BR"/>
        </w:rPr>
      </w:pPr>
      <w:r w:rsidRPr="000E4504">
        <w:rPr>
          <w:rFonts w:ascii="Arial" w:eastAsia="Times New Roman" w:hAnsi="Arial" w:cs="Arial"/>
          <w:color w:val="000000"/>
          <w:sz w:val="18"/>
          <w:szCs w:val="18"/>
          <w:lang w:eastAsia="pt-BR"/>
        </w:rPr>
        <w:t>3.5. Em relação às regras aplicáveis à presente licitação concernentes a tratamento favorecido para as microempresas, empresas de pequeno porte e equiparadas, observa-se que:</w:t>
      </w:r>
    </w:p>
    <w:p w14:paraId="70B5E07E" w14:textId="55ACD032" w:rsidR="000E4504" w:rsidRDefault="000E4504" w:rsidP="00F20451">
      <w:pPr>
        <w:pStyle w:val="NormalWeb"/>
        <w:spacing w:before="120" w:after="0"/>
        <w:jc w:val="both"/>
        <w:rPr>
          <w:rFonts w:ascii="Arial" w:hAnsi="Arial" w:cs="Arial"/>
          <w:color w:val="FF0000"/>
          <w:sz w:val="18"/>
          <w:szCs w:val="18"/>
        </w:rPr>
      </w:pPr>
      <w:bookmarkStart w:id="5" w:name="_Ref113883338"/>
      <w:r w:rsidRPr="00F20451">
        <w:rPr>
          <w:rFonts w:ascii="Arial" w:hAnsi="Arial" w:cs="Arial"/>
          <w:sz w:val="18"/>
          <w:szCs w:val="18"/>
        </w:rPr>
        <w:t>3.5.</w:t>
      </w:r>
      <w:r w:rsidR="00746310" w:rsidRPr="00F20451">
        <w:rPr>
          <w:rFonts w:ascii="Arial" w:hAnsi="Arial" w:cs="Arial"/>
          <w:sz w:val="18"/>
          <w:szCs w:val="18"/>
        </w:rPr>
        <w:t>1</w:t>
      </w:r>
      <w:r w:rsidRPr="00F20451">
        <w:rPr>
          <w:rFonts w:ascii="Arial" w:hAnsi="Arial" w:cs="Arial"/>
          <w:sz w:val="18"/>
          <w:szCs w:val="18"/>
        </w:rPr>
        <w:t xml:space="preserve">. Para os itens </w:t>
      </w:r>
      <w:r w:rsidR="00746310" w:rsidRPr="00F20451">
        <w:rPr>
          <w:rFonts w:ascii="Arial" w:hAnsi="Arial" w:cs="Arial"/>
          <w:sz w:val="18"/>
          <w:szCs w:val="18"/>
        </w:rPr>
        <w:t>01, 02 e 03</w:t>
      </w:r>
      <w:r w:rsidRPr="00F20451">
        <w:rPr>
          <w:rFonts w:ascii="Arial" w:hAnsi="Arial" w:cs="Arial"/>
          <w:sz w:val="18"/>
          <w:szCs w:val="18"/>
        </w:rPr>
        <w:t xml:space="preserve"> a participação é ampla, sendo aplicáveis as regras de tratamento favorecido constantes dos arts. 42 a 45 da Lei Complementar nº 123, de 2006, observado o disposto no § 2º do art. 4º da Lei nº 14.133, de 2021</w:t>
      </w:r>
      <w:r w:rsidRPr="000E4504">
        <w:rPr>
          <w:rFonts w:ascii="Arial" w:hAnsi="Arial" w:cs="Arial"/>
          <w:color w:val="FF0000"/>
          <w:sz w:val="18"/>
          <w:szCs w:val="18"/>
        </w:rPr>
        <w:t>.</w:t>
      </w:r>
      <w:r w:rsidR="00746310">
        <w:rPr>
          <w:rFonts w:ascii="Arial" w:hAnsi="Arial" w:cs="Arial"/>
          <w:color w:val="FF0000"/>
          <w:sz w:val="18"/>
          <w:szCs w:val="18"/>
        </w:rPr>
        <w:t xml:space="preserve"> </w:t>
      </w:r>
    </w:p>
    <w:bookmarkEnd w:id="5"/>
    <w:p w14:paraId="47F9F331"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3.6. Não poderão disputar esta licitação:</w:t>
      </w:r>
    </w:p>
    <w:p w14:paraId="5AF3774A"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3.6.1. Aquele que não atenda às condições deste Edital e seu(s) Anexo(s);</w:t>
      </w:r>
    </w:p>
    <w:p w14:paraId="49343F94"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3.6.2. Autor do anteprojeto, do projeto básico ou do projeto executivo, pessoa física ou jurídica, quando a licitação versar sobre serviços ou fornecimento de bens a ele relacionados, observado o disposto nos §§ 2º e 4º do art. 14 da Lei nº 14.133, de 2021;</w:t>
      </w:r>
    </w:p>
    <w:p w14:paraId="7477E79B"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 xml:space="preserve">3.6.3. Empresa, isoladamente ou em consórcio, responsável pela elaboração do projeto básico ou do projeto executivo, ou empresa da qual o autor do projeto seja dirigente, gerente, controlador, acionista ou detentor de mais de 5% (cinco por </w:t>
      </w:r>
      <w:r w:rsidRPr="00746310">
        <w:rPr>
          <w:rFonts w:ascii="Arial" w:eastAsia="Times New Roman" w:hAnsi="Arial" w:cs="Arial"/>
          <w:color w:val="000000"/>
          <w:sz w:val="18"/>
          <w:szCs w:val="18"/>
          <w:lang w:eastAsia="pt-BR"/>
        </w:rPr>
        <w:lastRenderedPageBreak/>
        <w:t xml:space="preserve">cento) do capital com direito a voto, responsável técnico ou subcontratado, quando a licitação versar sobre serviços ou fornecimento de bens a ela necessários, observado o disposto nos §§ 2º e 4º do art. 14 da Lei nº 14.133, de 2021; </w:t>
      </w:r>
    </w:p>
    <w:p w14:paraId="36FD1328"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3.6.4. Pessoa física ou jurídica que se encontre, ao tempo da licitação, impossibilitada de participar da licitação em decorrência de sanção que lhe foi imposta;</w:t>
      </w:r>
    </w:p>
    <w:p w14:paraId="25D4A419"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3.6.5.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69A82042"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3.6.6. Empresas controladoras, controladas ou coligadas, nos termos da Lei no 6.404, de 15 de dezembro de 1976., concorrendo entre si;</w:t>
      </w:r>
    </w:p>
    <w:p w14:paraId="71EA6142"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3.6.7.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47A226A6"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3.6.8. Agente público do órgão ou entidade licitante;</w:t>
      </w:r>
    </w:p>
    <w:p w14:paraId="32B189F1"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3.6.9. Aquele que não tenha representação legal no Brasil com poderes expressos para receber citação e responder administrativa ou judicialmente.</w:t>
      </w:r>
    </w:p>
    <w:p w14:paraId="6005C202"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3.7. Não poderá participar, direta ou indiretamente, da licitação ou da execução do contrato agente público do órgão ou entidade licitante ou contratante, devendo ser observadas as situações que possam configurar conflito de interesses no exercício ou após o exercício do cargo ou emprego, nos termos da legislação que disciplina a matéria, conforme § 1º do art. 9º da Lei nº 14.133, de 2021.</w:t>
      </w:r>
    </w:p>
    <w:p w14:paraId="57F0B04D"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3.7.1. A vedação de participação de agente público do órgão ou entidade licitante ou contratante de que trata a subdivisão acima estende-se a terceiro que auxilie a condução da contratação na qualidade de integrante de equipe de apoio, profissional especializado ou funcionário ou representante de empresa que preste assessoria técnica.</w:t>
      </w:r>
    </w:p>
    <w:p w14:paraId="47A85130"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3.8. O impedimento decorrente de imposição de sanção de que trata o subitem 3.6.4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1F3F88C3"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3.9. No que concerne aos subitens 3.6.2 e 3.6.3, equiparam-se aos autores do projeto as empresas integrantes do mesmo grupo econômico.</w:t>
      </w:r>
    </w:p>
    <w:p w14:paraId="636E7103"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3.10. Será permitida a participação de sociedades cooperativas nesta licitação, nos termos do art. 16 da Lei nº 14.133, de 2021.</w:t>
      </w:r>
    </w:p>
    <w:p w14:paraId="1EF26791"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3.11. Será admitida a participação de pessoas jurídicas em consórcio, nos termos do art. 15 da Lei nº 14.133, de 2021.</w:t>
      </w:r>
    </w:p>
    <w:p w14:paraId="33A70486" w14:textId="547BF998" w:rsidR="003D577F" w:rsidRPr="00592295"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3.11.1. Será vedada a participação de empresa consorciada, na mesma licitação, de mais de um consórcio ou de forma isolada, nos termos do art. 15, inc. IV, da Lei nº 14.133, de 2021.</w:t>
      </w:r>
    </w:p>
    <w:p w14:paraId="29654E8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 w:name="_Toc135469226"/>
      <w:r w:rsidRPr="00592295">
        <w:rPr>
          <w:rFonts w:ascii="Arial" w:eastAsia="Times New Roman" w:hAnsi="Arial" w:cs="Arial"/>
          <w:b/>
          <w:bCs/>
          <w:color w:val="000000"/>
          <w:sz w:val="18"/>
          <w:szCs w:val="18"/>
          <w:lang w:eastAsia="pt-BR"/>
        </w:rPr>
        <w:t>4 DA APRESENTAÇÃO DA PROPOSTA E DOS DOCUMENTOS DE HABILITAÇÃO</w:t>
      </w:r>
      <w:bookmarkEnd w:id="6"/>
    </w:p>
    <w:p w14:paraId="74F74935"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4.1. Na presente licitação, a fase de habilitação sucederá as fases de apresentação de propostas e lances e de julgamento.</w:t>
      </w:r>
    </w:p>
    <w:p w14:paraId="4DC0740F"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4.2. Os licitantes encaminharão, exclusivamente por meio do sistema eletrônico, a proposta com o preço até a data e o horário estabelecidos para abertura da sessão pública.</w:t>
      </w:r>
    </w:p>
    <w:p w14:paraId="6B313C63"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4.3. No cadastramento da proposta inicial, o licitante declarará, em campo próprio do sistema, que:</w:t>
      </w:r>
    </w:p>
    <w:p w14:paraId="5AE6931B"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4.3.1. Está ciente e concorda com as condições contidas no Edital e seus Anexos, bem como que a proposta apresentada compreenderá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5AA65770"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4.3.2. Não emprega menor de 18 (dezoito) anos em trabalho noturno, perigoso ou insalubre e não emprega menor de 16 (dezesseis) anos, salvo menor, a partir de 14 (quatorze) anos, na condição de aprendiz, nos termos do artigo 7°, XXXIII, da Constituição Federal;</w:t>
      </w:r>
    </w:p>
    <w:p w14:paraId="3A753B5B"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lastRenderedPageBreak/>
        <w:t>4.3.3. Não possui empregados executando trabalho degradante ou forçado, observando o disposto nos incisos III e IV do art. 1º e no inciso III do art. 5º da Constituição Federal;</w:t>
      </w:r>
    </w:p>
    <w:p w14:paraId="3E72D977"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4.3.4. Cumpre as exigências de reserva de cargos para pessoa com deficiência e para reabilitado da Previdência Social, previstas em lei e em outras normas específicas.</w:t>
      </w:r>
    </w:p>
    <w:p w14:paraId="570D880A"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4.4. O fornecedor enquadrado como microempresa, empresa de pequeno porte ou sociedade cooperativa que atenda ao disposto no art. 34 da Lei nº 11.488, de 2007 (se admitida a participação de cooperativa no item 3.10.) deverá declarar, ainda, em campo próprio do sistema eletrônico, que cumpre os requisitos estabelecidos no artigo 3° da Lei Complementar nº 123, de 2006, estando apto a usufruir do tratamento favorecido estabelecido em seus arts. 42 a 49, observado o disposto nos §§ 1º ao 3º do art. 4º da Lei n.º 14.133, de 2021, excetuada a hipótese de se verificar uma das exceções dos §§ 1º ao 3º do art. 4º supracitado, conforme especificado nos subitens 4.4.1 e 4.4.2 subsequentes.</w:t>
      </w:r>
    </w:p>
    <w:p w14:paraId="3D28D15B"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4.4.1. Não se aplica o tratamento favorecido estabelecido nos arts. 42 a 49 da Lei Complementar nº 123, de 2006, na hipótese em que item objeto desta licitação tenha valor estimado superior ao limite estabelecido nos §§ 1º e 3º do art. 4º da Lei nº 14.133, de 2021, conforme seja especificado, quando houver, em subdivisão do item 3.5.</w:t>
      </w:r>
    </w:p>
    <w:p w14:paraId="61F47536"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4.4.2. Não têm direito ao tratamento favorecido estabelecido nos arts. 42 a 49 da Lei Complementar nº 123, de 2006, as microempresas, as empresas de pequeno porte e as cooperativas que, no ano-calendário de realização da licitação, tenham celebrado contratos com a Administração Pública cujos valores somados extrapolem a receita bruta máxima admitida para fins de enquadramento como empresa de pequeno porte, nos termos do § 2º do art. 4º da Lei nº 14.133, de 2021.</w:t>
      </w:r>
    </w:p>
    <w:p w14:paraId="7A417AB2"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 xml:space="preserve">4.4.3 Na hipótese de se verificar uma das exceções especificadas no item 4.4.1 ou no item 4.4.2, ou de não cumprimento de outro requisito legal para tratamento favorecido, o licitante deverá assinalar o campo “não”, por não ter direito ao tratamento favorecido previsto na Lei Complementar nº 123, de 2006. </w:t>
      </w:r>
    </w:p>
    <w:p w14:paraId="3D0CF5F3"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4.4.4. Na hipótese de item para participação exclusiva de microempresas, empresas de pequeno porte e equiparadas, a assinalação do campo “não” impedirá o prosseguimento no certame, para aquele item.</w:t>
      </w:r>
    </w:p>
    <w:p w14:paraId="35444BB6"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4.4.5. Na hipótese de itens em que a participação não seja exclusiva para microempresas, empresas de pequeno porte e equiparadas, a assinalação do campo “não” apenas produzirá o efeito de o licitante não ter direito ao tratamento favorecido previsto na Lei Complementar nº 123, de 2006, mesmo que microempresa, empresa de pequeno porte ou sociedade cooperativa equiparada.</w:t>
      </w:r>
    </w:p>
    <w:p w14:paraId="18195631"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4.4.6. O licitante organizado em cooperativa deverá declarar, ainda, em campo próprio do sistema eletrônico, que cumpre os requisitos estabelecidos no artigo 16 da Lei nº 14.133, de 2021.</w:t>
      </w:r>
    </w:p>
    <w:p w14:paraId="1F0C5DCF"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4.5. A falsidade da declaração de que tratam os itens 4.3 e 4.4 sujeitará o licitante às sanções previstas na Lei nº 14.133, de 2021, e neste Edital.</w:t>
      </w:r>
    </w:p>
    <w:p w14:paraId="38779708"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4.6. Os licitantes poderão retirar ou substituir a proposta anteriormente inserida no sistema, até a abertura da sessão pública.</w:t>
      </w:r>
    </w:p>
    <w:p w14:paraId="5EE9D6A9"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4.7. Não haverá ordem de classificação na etapa de apresentação da proposta pelo licitante, o que ocorrerá somente após os procedimentos de abertura da sessão pública e da fase de envio de lances.</w:t>
      </w:r>
    </w:p>
    <w:p w14:paraId="4BDCF98B"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4.8. Serão disponibilizados para acesso público os documentos que compõem a proposta dos licitantes convocados para apresentação de propostas, após a fase de envio de lances.</w:t>
      </w:r>
    </w:p>
    <w:p w14:paraId="775E35C4"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4.9. 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422846DB" w14:textId="74418C19" w:rsidR="003D577F" w:rsidRPr="00592295"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4.10. O licitante deverá comunicar imediatamente ao provedor do sistema qualquer acontecimento que possa comprometer o sigilo ou a segurança, para imediato bloqueio de acesso.</w:t>
      </w:r>
    </w:p>
    <w:p w14:paraId="1E3320AC"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7" w:name="_Toc135469227"/>
      <w:r w:rsidRPr="00592295">
        <w:rPr>
          <w:rFonts w:ascii="Arial" w:eastAsia="Times New Roman" w:hAnsi="Arial" w:cs="Arial"/>
          <w:b/>
          <w:bCs/>
          <w:color w:val="000000"/>
          <w:sz w:val="18"/>
          <w:szCs w:val="18"/>
          <w:lang w:eastAsia="pt-BR"/>
        </w:rPr>
        <w:t>5 DO PREENCHIMENTO DA PROPOSTA</w:t>
      </w:r>
      <w:bookmarkEnd w:id="7"/>
    </w:p>
    <w:p w14:paraId="76F1845A"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5.1. O licitante deverá enviar sua proposta mediante o preenchimento, no sistema eletrônico, dos seguintes campos:</w:t>
      </w:r>
    </w:p>
    <w:p w14:paraId="2A6F7984"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5.1.1. Valor unitário e total do item;</w:t>
      </w:r>
    </w:p>
    <w:p w14:paraId="11958A82"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5.1.2. Marca;</w:t>
      </w:r>
    </w:p>
    <w:p w14:paraId="30EF50A1"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 xml:space="preserve">5.1.3. Fabricante; </w:t>
      </w:r>
    </w:p>
    <w:p w14:paraId="67F4FB31"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lastRenderedPageBreak/>
        <w:t>5.1.4. Quantidade cotada, devendo respeitar o mínimo especificado na documentação que constitui Anexo deste Edital.</w:t>
      </w:r>
    </w:p>
    <w:p w14:paraId="3C556450"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5.2. Todas as especificações do objeto contidas na proposta vinculam o licitante.</w:t>
      </w:r>
    </w:p>
    <w:p w14:paraId="32F61EEA"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 xml:space="preserve">5.2.1. Nesta licitação para registro de preços, o licitante NÃO poderá oferecer proposta em quantitativo inferior ao máximo previsto para futura contratação, nos termos da documentação que constitui Anexo deste Edital.  </w:t>
      </w:r>
    </w:p>
    <w:p w14:paraId="270CC649"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5.3. Nos valores propostos estarão inclusos todos os custos operacionais, encargos previdenciários, trabalhistas, tributários, comerciais e quaisquer outros que incidam direta ou indiretamente na execução do objeto.</w:t>
      </w:r>
    </w:p>
    <w:p w14:paraId="301F98BD"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5.4. Os preços ofertados, tanto na proposta inicial, quanto na etapa de lances, serão de exclusiva responsabilidade do licitante, não lhe assistindo o direito de pleitear qualquer alteração, sob alegação de erro, omissão ou qualquer outro pretexto.</w:t>
      </w:r>
    </w:p>
    <w:p w14:paraId="473369AB"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5.5. Independentemente do percentual de tributo inserido na planilha, quando houver determinação legal de retenção de tributo, no pagamento serão retidos na fonte os percentuais que sejam estabelecidos na legislação vigente.</w:t>
      </w:r>
    </w:p>
    <w:p w14:paraId="1A69AB40"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5.6. As microempresas e empresas de pequeno porte impedidas de optar pelo Simples Nacional, ante as vedações previstas na Lei Complementar nº 123, de 2006, não poderão aplicar os benefícios decorrentes desse regime tributário diferenciado em sua proposta, devendo elaborá-la de acordo com as normas aplicáveis às demais pessoas jurídicas.</w:t>
      </w:r>
    </w:p>
    <w:p w14:paraId="62DB7FD4" w14:textId="105E7859"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 xml:space="preserve">5.6.1. Quando for o caso, e se vier a ser contratado, o licitante na situação descrita </w:t>
      </w:r>
      <w:r w:rsidR="008925A2" w:rsidRPr="00CE55D8">
        <w:rPr>
          <w:rFonts w:ascii="Arial" w:eastAsia="Times New Roman" w:hAnsi="Arial" w:cs="Arial"/>
          <w:color w:val="000000"/>
          <w:sz w:val="18"/>
          <w:szCs w:val="18"/>
          <w:lang w:eastAsia="pt-BR"/>
        </w:rPr>
        <w:t>na subdivisão</w:t>
      </w:r>
      <w:r w:rsidRPr="00CE55D8">
        <w:rPr>
          <w:rFonts w:ascii="Arial" w:eastAsia="Times New Roman" w:hAnsi="Arial" w:cs="Arial"/>
          <w:color w:val="000000"/>
          <w:sz w:val="18"/>
          <w:szCs w:val="18"/>
          <w:lang w:eastAsia="pt-BR"/>
        </w:rPr>
        <w:t xml:space="preserve"> acima deverá requerer ao órgão fazendário competente a sua exclusão do Simples Nacional até o último dia útil do mês subsequente àquele em que ocorrida a situação de vedação, nos termos do art. 30, caput, inc. II, e § 1º, inc. II, da Lei Complementar nº 123, de 2006, apresentando à Administração a comprovação da exclusão ou o seu respectivo protocolo.</w:t>
      </w:r>
    </w:p>
    <w:p w14:paraId="19C3D018" w14:textId="7250CD25"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 xml:space="preserve">5.6.2. Se o Contratado não realizar espontaneamente o requerimento de que trata </w:t>
      </w:r>
      <w:r w:rsidR="008925A2" w:rsidRPr="00CE55D8">
        <w:rPr>
          <w:rFonts w:ascii="Arial" w:eastAsia="Times New Roman" w:hAnsi="Arial" w:cs="Arial"/>
          <w:color w:val="000000"/>
          <w:sz w:val="18"/>
          <w:szCs w:val="18"/>
          <w:lang w:eastAsia="pt-BR"/>
        </w:rPr>
        <w:t>a subdivisão</w:t>
      </w:r>
      <w:r w:rsidRPr="00CE55D8">
        <w:rPr>
          <w:rFonts w:ascii="Arial" w:eastAsia="Times New Roman" w:hAnsi="Arial" w:cs="Arial"/>
          <w:color w:val="000000"/>
          <w:sz w:val="18"/>
          <w:szCs w:val="18"/>
          <w:lang w:eastAsia="pt-BR"/>
        </w:rPr>
        <w:t xml:space="preserve"> acima, caberá ao ente público contratante comunicar o fato ao órgão fazendário competente, solicitando que o Contratado seja excluído de ofício do Simples Nacional, nos termos do art. 29, inc. I, da Lei Complementar nº 123, de 2006.</w:t>
      </w:r>
    </w:p>
    <w:p w14:paraId="0812E7AA"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5.7. A apresentação das propostas implica obrigatoriedade do cumprimento das disposições nelas contidas, em conformidade com o que dispõe a documentação que integra este Edital, assumindo o proponente o compromisso de executar o objeto licitado nos seus termos, bem como de utilizar os materiais, equipamentos, ferramentas e utensílios necessários, em quantidades e qualidades adequadas à perfeita execução contratual, promovendo, quando requerido, sua substituição.</w:t>
      </w:r>
    </w:p>
    <w:p w14:paraId="584E080C"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5.8. O prazo de validade da proposta não será inferior a 90 (noventa) dias, a contar da data de sua apresentação.</w:t>
      </w:r>
    </w:p>
    <w:p w14:paraId="4497A367"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5.9. Os licitantes devem respeitar os preços máximos estabelecidos nas normas de regência de contratações públicas, quando participarem de licitações públicas.</w:t>
      </w:r>
    </w:p>
    <w:p w14:paraId="5E41A6F4" w14:textId="0864879B" w:rsidR="003D577F" w:rsidRPr="00592295"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5.10. O descumprimento das regras supramencionadas por parte do Contratado pode ensejar a responsabilização pelo Tribunal de Contas competente e, após o devido processo legal, gerar as seguintes consequências: assinatura de prazo para a adoção das medidas necessárias ao exato cumprimento da lei, nos termos do art. 71, inciso IX, da Constituição Federal, e do art. 33, inc. X, da Constituição do Estado de São Paulo; ou condenação dos agentes públicos responsáveis e do Contratado ao pagamento de indenização pelos prejuízos ao erário, caso verificada a ocorrência de superfaturamento por sobrepreço na execução do contrato.</w:t>
      </w:r>
    </w:p>
    <w:p w14:paraId="17AECF6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8" w:name="_Toc135469228"/>
      <w:r w:rsidRPr="00592295">
        <w:rPr>
          <w:rFonts w:ascii="Arial" w:eastAsia="Times New Roman" w:hAnsi="Arial" w:cs="Arial"/>
          <w:b/>
          <w:bCs/>
          <w:color w:val="000000"/>
          <w:sz w:val="18"/>
          <w:szCs w:val="18"/>
          <w:lang w:eastAsia="pt-BR"/>
        </w:rPr>
        <w:t>6 DA ABERTURA DA SESSÃO, CLASSIFICAÇÃO DAS PROPOSTAS E FORMULAÇÃO DE LANCES</w:t>
      </w:r>
      <w:bookmarkEnd w:id="8"/>
    </w:p>
    <w:p w14:paraId="11D767D2"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 A abertura da presente licitação dar-se-á automaticamente em sessão pública, por meio de sistema eletrônico, na data, horário e local indicados neste Edital.</w:t>
      </w:r>
    </w:p>
    <w:p w14:paraId="0FB6A0CF"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6.2. Os licitantes poderão retirar ou substituir a proposta anteriormente inserida no sistema, até a abertura da sessão pública.</w:t>
      </w:r>
    </w:p>
    <w:p w14:paraId="6C43DD8B"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6.3. O sistema disponibilizará campo próprio para troca de mensagens entre o pregoeiro e os licitantes.</w:t>
      </w:r>
    </w:p>
    <w:p w14:paraId="02970E1E"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 xml:space="preserve">6.4. Iniciada a etapa competitiva, os licitantes deverão encaminhar lances exclusivamente por meio de sistema eletrônico, sendo imediatamente informados do seu recebimento e do valor consignado no registro. </w:t>
      </w:r>
    </w:p>
    <w:p w14:paraId="780548AC"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6.5. O lance deverá ser ofertado pelo valor unitário do item.</w:t>
      </w:r>
    </w:p>
    <w:p w14:paraId="7DC1DC07"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6.6. Os licitantes poderão oferecer lances sucessivos, observando o horário fixado para abertura da sessão e as regras estabelecidas no Edital.</w:t>
      </w:r>
    </w:p>
    <w:p w14:paraId="1122FEE5"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 xml:space="preserve">6.7. O licitante somente poderá oferecer lance de valor inferior ao último por ele ofertado e registrado pelo sistema. </w:t>
      </w:r>
    </w:p>
    <w:p w14:paraId="06993E88"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lastRenderedPageBreak/>
        <w:t>6.8. O intervalo mínimo de diferença de percentuais entre os lances, que incidirá tanto em relação aos lances intermediários quanto em relação à proposta que cobrir a melhor oferta deverá ser de 1,3% (um vírgula três por cento).</w:t>
      </w:r>
    </w:p>
    <w:p w14:paraId="4000A8BE"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6.9. O licitante poderá, uma única vez, excluir seu último lance ofertado, no intervalo de 15 (quinze) segundos após o registro no sistema, na hipótese de lance inconsistente ou inexequível.</w:t>
      </w:r>
    </w:p>
    <w:p w14:paraId="745669D8"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6.10. O procedimento seguirá de acordo com o modo de disputa adotado, definido no início deste Edital.</w:t>
      </w:r>
    </w:p>
    <w:p w14:paraId="32278818"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6.11. Será adotado para o envio de lances no pregão eletrônico o modo de disputa “aberto”, segundo o qual os licitantes apresentarão lances públicos e sucessivos, com prorrogações.</w:t>
      </w:r>
    </w:p>
    <w:p w14:paraId="319CC7AD"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6.11.1. A etapa de lances da sessão pública terá duração de 10 (dez) minutos e, após isso, será prorrogada automaticamente pelo sistema quando houver lance ofertado nos últimos 2 (dois) minutos do período de duração da sessão pública.</w:t>
      </w:r>
    </w:p>
    <w:p w14:paraId="66A51236"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6.11.2. A prorrogação automática da etapa de lances, de que trata a subdivisão acima, será de 2 (dois) minutos e ocorrerá sucessivamente sempre que houver lances enviados nesse período de prorrogação, inclusive no caso de lances intermediários.</w:t>
      </w:r>
    </w:p>
    <w:p w14:paraId="65B87DB4"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6.11.3. Não havendo novos lances na forma estabelecida nas subdivisões anteriores, a sessão pública encerrar-se-á automaticamente, e o sistema ordenará e divulgará os lances conforme a ordem de classificação.</w:t>
      </w:r>
    </w:p>
    <w:p w14:paraId="71BB454B"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6.11.4. 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385E4575"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6.11.5. Após o reinício previsto na subdivisão acima, os licitantes serão convocados para apresentar lances intermediários.</w:t>
      </w:r>
    </w:p>
    <w:p w14:paraId="139B730C"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6.12. Após o término dos prazos estabelecidos nas subdivisões anteriores, o sistema ordenará e divulgará os lances segundo a ordem crescente de valores.</w:t>
      </w:r>
    </w:p>
    <w:p w14:paraId="4D994928"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 xml:space="preserve">6.13. Não serão aceitos dois ou mais lances de mesmo valor, prevalecendo aquele que for recebido e registrado em primeiro lugar. </w:t>
      </w:r>
    </w:p>
    <w:p w14:paraId="0C986D69"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 xml:space="preserve">6.14. Durante o transcurso da sessão pública, os licitantes serão informados, em tempo real, do valor do menor lance registrado, vedada a identificação do licitante. </w:t>
      </w:r>
    </w:p>
    <w:p w14:paraId="4EA9FB82"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 xml:space="preserve">6.15. No caso de desconexão com o pregoeiro, no decorrer da etapa competitiva do Pregão, o sistema eletrônico poderá permanecer acessível aos licitantes para a recepção dos lances. </w:t>
      </w:r>
    </w:p>
    <w:p w14:paraId="6A228410"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6.16. Quando a desconexão do sistema eletrônico para o pregoeiro persistir por tempo superior a 10 (dez) minutos, a sessão pública será suspensa e reiniciada somente após decorridas 24 (vinte e quatro) horas da comunicação do fato pelo pregoeiro aos participantes, no sítio eletrônico utilizado para divulgação.</w:t>
      </w:r>
    </w:p>
    <w:p w14:paraId="493151D9"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6.17. Caso o licitante não apresente lances, concorrerá com o valor de sua proposta.</w:t>
      </w:r>
    </w:p>
    <w:p w14:paraId="041DCB3A"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6.18. Em relação a itens não exclusivos para participação de microempresas e empresas de pequeno porte, uma vez encerrada a etapa de lances, será efetivada a verificação automática, junto à Receita Federal, do porte da entidade empresarial, caso a contratação não se enquadre nas vedações dos §§ 1º e 2º do art. 4º da Lei nº 14.133, de 2021. O sistema identificará em coluna própria as microempresas e empresas de pequeno porte participantes, procedendo à comparação com os valores da primeira colocada, se esta for empresa de maior porte, assim como das demais classificadas, para o fim de aplicar-se o disposto nos arts. 44 e 45 da Lei Complementar nº 123, de 2006.</w:t>
      </w:r>
    </w:p>
    <w:p w14:paraId="060A17F0"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6.18.1. Nessas condições, as propostas de microempresas e empresas de pequeno porte que se encontrarem na faixa de até 5% (cinco por cento) acima da melhor proposta ou melhor lance serão consideradas empatadas com a primeira colocada.</w:t>
      </w:r>
    </w:p>
    <w:p w14:paraId="4C44F794"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6.20.2. A melhor classificada nos termos da subdivisão acima terá o direito de encaminhar uma última oferta para desempate, obrigatoriamente em valor inferior ao da primeira colocada, no prazo de 5 (cinco) minutos controlados pelo sistema, contados após a comunicação automática para tanto.</w:t>
      </w:r>
    </w:p>
    <w:p w14:paraId="0CDAB4BF"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6.20.3. 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na subdivisão acima.</w:t>
      </w:r>
    </w:p>
    <w:p w14:paraId="3D54BDE8"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6.18.4. No caso de equivalência dos valores apresentados pelas microempresas e empresas de pequeno porte que se encontrem nos intervalos estabelecidos nas subdivisões anteriores, será realizado sorteio entre elas para que se identifique aquela que primeiro poderá apresentar melhor oferta.</w:t>
      </w:r>
    </w:p>
    <w:p w14:paraId="770641CC"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lastRenderedPageBreak/>
        <w:t>6.18.5. Não se aplica o tratamento favorecido estabelecido nos arts. 44 e 45 da Lei Complementar nº 123, de 2006, na hipótese em que item objeto desta licitação tenha valor estimado superior ao limite estabelecido nos §§ 1º e 3º do art. 4º da Lei nº 14.133, de 2021, conforme seja especificado, quando houver, em subdivisão do item 3.5.</w:t>
      </w:r>
    </w:p>
    <w:p w14:paraId="46172B1E"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 Só poderá haver empate entre propostas iguais (não seguidas de lances), ou entre lances finais da fase fechada do modo de disputa aberto e fechado (se adotado esse modo de disputa no início deste Edital e no item 6.11).</w:t>
      </w:r>
    </w:p>
    <w:p w14:paraId="01DDE90E"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6.19.1. Havendo eventual empate entre propostas ou lances, os critérios de desempate serão aqueles previsto no art. 60 da Lei nº 14.133, de 2021, nesta ordem:</w:t>
      </w:r>
    </w:p>
    <w:p w14:paraId="394278AE"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6.19.1.1. Disputa final, hipótese em que os licitantes empatados poderão apresentar nova proposta em ato contínuo à classificação;</w:t>
      </w:r>
    </w:p>
    <w:p w14:paraId="461C86B3"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6.19.1.2. Avaliação do desempenho contratual prévio dos licitantes, para a qual deverão preferencialmente ser utilizados registros cadastrais para efeito de atesto de cumprimento de obrigações previstos na lei nº 14.133, de 2021, conforme regulamento</w:t>
      </w:r>
    </w:p>
    <w:p w14:paraId="4F68698D"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6.21.1.3. Desenvolvimento pelo licitante de ações de equidade entre homens e mulheres no ambiente de trabalho, conforme regulamento;</w:t>
      </w:r>
    </w:p>
    <w:p w14:paraId="73A62EF8"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6.19.1.4. Desenvolvimento pelo licitante de programa de integridade, conforme orientações dos órgãos de controle.</w:t>
      </w:r>
    </w:p>
    <w:p w14:paraId="4964DDC0"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6.19.2. Persistindo o empate, será assegurada preferência, nos termos do § 1º do art. 60 da lei nº 14.133, de 2021, sucessivamente, aos bens e serviços produzidos ou prestados por:</w:t>
      </w:r>
    </w:p>
    <w:p w14:paraId="3D9BD9C1"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6.19.2.1. Empresas estabelecidas no território do estado de são Paulo;</w:t>
      </w:r>
    </w:p>
    <w:p w14:paraId="1EFD9423"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6.19.2.2. Empresas brasileiras;</w:t>
      </w:r>
    </w:p>
    <w:p w14:paraId="0128C016"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6.19.2.3. Empresas que invistam em pesquisa e no desenvolvimento de tecnologia no país;</w:t>
      </w:r>
    </w:p>
    <w:p w14:paraId="135DB668"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6.19.2.4. Empresas que comprovem a prática de mitigação, nos termos da Lei nº 12.187, de 29 de dezembro de 2009.</w:t>
      </w:r>
    </w:p>
    <w:p w14:paraId="0D2B5FEB"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6.19.3. Caso persista o empate após obedecido o disposto no caput e no § 1º do art. 60 da Lei nº 14.133, de 2021, o desempate ocorrerá por sorteio, a ser realizado em local, data e horário que serão divulgados por meio de mensagem no sistema, sendo facultada a presença a todos os interessados, incluindo os demais licitantes.</w:t>
      </w:r>
    </w:p>
    <w:p w14:paraId="540B78D3"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6.19.4. Será observado o disposto no § 2º do art. 60 da Lei nº 14.133, de 2021, e no inciso III do art. 41 c/c o inciso I do art. 58 da Lei Complementar nº 225, de 2026, quando for o caso.</w:t>
      </w:r>
    </w:p>
    <w:p w14:paraId="10199A47" w14:textId="4C48341E"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6.20. Encerrada a etapa de envio de lances da sessão pública, na hipótese de a proposta do primeiro colocado permanecer acima do preço máximo definido para a contratação, o pregoeiro poderá negociar condições mais vantajosas, após definido o resultado do julgamento.</w:t>
      </w:r>
    </w:p>
    <w:p w14:paraId="58A9C05C" w14:textId="20DAEDB8"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6.20.1. Nesta licitação para registro de preços, não será admitida a previsão de preços diferentes em razão de local de realização ou entrega, tamanho de lote ou qualquer outro motivo.</w:t>
      </w:r>
    </w:p>
    <w:p w14:paraId="1A9E74C1" w14:textId="09044F40"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6.20.2. 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4BF1BDE5"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6.20.3. A negociação será realizada por meio do sistema, podendo ser acompanhada pelos demais licitantes.</w:t>
      </w:r>
    </w:p>
    <w:p w14:paraId="140EEA5D"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6.20.4. O resultado da negociação será divulgado a todos os licitantes e anexado aos autos do processo licitatório.</w:t>
      </w:r>
    </w:p>
    <w:p w14:paraId="1B41A20B"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6.20.5. O pregoeiro solicitará ao licitante mais bem classificado que, no prazo de 2 (duas) horas, envie a proposta adequada ao último lance ofertado após a negociação realizada, acompanhada, se for o caso, dos documentos complementares, quando necessários à confirmação daqueles exigidos neste Edital e já apresentados.</w:t>
      </w:r>
    </w:p>
    <w:p w14:paraId="3FF23293"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6.20.6. É facultado ao pregoeiro prorrogar o prazo estabelecido, a partir de solicitação fundamentada feita no chat pelo licitante antes de findo o prazo, ou de ofício, a critério do pregoeiro, quando constatado que o prazo estabelecido não é suficiente para o envio da documentação exigida.</w:t>
      </w:r>
    </w:p>
    <w:p w14:paraId="563672E2" w14:textId="498AFC2E" w:rsidR="003D577F" w:rsidRPr="00592295"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6.21. Após a negociação do preço, o pregoeiro iniciará a fase de aceitação e julgamento da proposta.</w:t>
      </w:r>
    </w:p>
    <w:p w14:paraId="01E21C8D" w14:textId="1CC56C72" w:rsidR="003D577F" w:rsidRDefault="003D577F" w:rsidP="00005CD4">
      <w:pPr>
        <w:spacing w:before="100" w:beforeAutospacing="1" w:after="100" w:afterAutospacing="1" w:line="240" w:lineRule="auto"/>
        <w:jc w:val="both"/>
        <w:rPr>
          <w:rFonts w:ascii="Arial" w:eastAsia="Times New Roman" w:hAnsi="Arial" w:cs="Arial"/>
          <w:b/>
          <w:bCs/>
          <w:color w:val="000000"/>
          <w:sz w:val="18"/>
          <w:szCs w:val="18"/>
          <w:lang w:eastAsia="pt-BR"/>
        </w:rPr>
      </w:pPr>
      <w:bookmarkStart w:id="9" w:name="_Toc135469229"/>
      <w:r w:rsidRPr="00592295">
        <w:rPr>
          <w:rFonts w:ascii="Arial" w:eastAsia="Times New Roman" w:hAnsi="Arial" w:cs="Arial"/>
          <w:b/>
          <w:bCs/>
          <w:color w:val="000000"/>
          <w:sz w:val="18"/>
          <w:szCs w:val="18"/>
          <w:lang w:eastAsia="pt-BR"/>
        </w:rPr>
        <w:t>7 DA FASE DE JULGAMENTO</w:t>
      </w:r>
      <w:bookmarkEnd w:id="9"/>
    </w:p>
    <w:p w14:paraId="6B4E2A27"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 xml:space="preserve">7.1. Encerrada a etapa de negociação, o pregoeiro verificará se o licitante provisoriamente classificado em primeiro lugar atende às condições de participação no certame, conforme previsto no art. 14 da Lei nº 14.133, de 2021, legislação </w:t>
      </w:r>
      <w:r w:rsidRPr="0039393D">
        <w:rPr>
          <w:rFonts w:ascii="Arial" w:eastAsia="Times New Roman" w:hAnsi="Arial" w:cs="Arial"/>
          <w:color w:val="000000"/>
          <w:sz w:val="18"/>
          <w:szCs w:val="18"/>
          <w:lang w:eastAsia="pt-BR"/>
        </w:rPr>
        <w:lastRenderedPageBreak/>
        <w:t>correlata e no subitem 3.6 deste Edital, especialmente quanto à existência de sanção que impeça a participação no certame ou a futura contratação, mediante a consulta aos seguintes cadastros:</w:t>
      </w:r>
    </w:p>
    <w:p w14:paraId="30B40F95"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7.1.1. SICAF;</w:t>
      </w:r>
    </w:p>
    <w:p w14:paraId="06C692E3"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7.1.2. Cadastro Nacional de Empresas Inidôneas e Suspensas - CEIS, mantido pela Controladoria-Geral da União (https://portaldatransparencia.gov.br/sancoes/consulta);</w:t>
      </w:r>
    </w:p>
    <w:p w14:paraId="0AFDB415"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7.1.3. Cadastro Nacional de Empresas Punidas – CNEP, mantido pela Controladoria-Geral da União (https://portaldatransparencia.gov.br/sancoes/consulta);</w:t>
      </w:r>
    </w:p>
    <w:p w14:paraId="41F24426"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7.1.4. Cadastro Nacional de Condenações Cíveis por Ato de Improbidade Administrativa e Inelegibilidade – CNCIAI, do Conselho Nacional de Justiça (http://www.cnj.jus.br/improbidade_adm/consultar_requerido.php);</w:t>
      </w:r>
    </w:p>
    <w:p w14:paraId="062D3A54"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7.1.5. Sistema Eletrônico de Aplicação e Registro de Sanções Administrativas – e-Sanções (http://www.esancoes.sp.gov.br);</w:t>
      </w:r>
    </w:p>
    <w:p w14:paraId="102357CC"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7.1.6. Relação de apenados publicada pelo Tribunal de Contas do Estado de São Paulo (https://www.tce.sp.gov.br/apenados).</w:t>
      </w:r>
    </w:p>
    <w:p w14:paraId="36EBF830"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7.1.7. Cadastro Informativo de créditos não quitados do setor público federal – Cadin, de que trata a Lei nº 10.522, de 2002, no que concerne à medida prevista no inciso I, alíneas “b” e “c”, do art. 13 da Lei Complementar nº 225, de 2026.</w:t>
      </w:r>
    </w:p>
    <w:p w14:paraId="159D236E"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7.2. Em relação a pessoa jurídica licitante, a consulta ao cadastro CNCIAI será realizada também quanto a seu sócio majoritário, por força do art. 12 da Lei n° 8.429, de 1992.</w:t>
      </w:r>
    </w:p>
    <w:p w14:paraId="4864EC35"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7.3. Caso conste na Consulta de Situação do licitante a existência de Ocorrências Impeditivas Indiretas, o pregoeiro diligenciará para verificar se houve fraude por parte das empresas apontadas no Relatório de Ocorrências Impeditivas Indiretas. (Instrução Normativa SEGES/MPDG nº 3, de 2018, art. 29, caput, c/c Decreto estadual nº 67.608, de 2023)</w:t>
      </w:r>
    </w:p>
    <w:p w14:paraId="62C67E66"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7.3.1. A tentativa de burla será verificada por meio dos vínculos societários, linhas de fornecimento similares, dentre outros. (Instrução Normativa SEGES/MPDG nº 3, de 2018, art. 29, § 1º, c/c Decreto estadual nº 67.608, de 2023).</w:t>
      </w:r>
    </w:p>
    <w:p w14:paraId="73EC0464"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7.3.2. O licitante será convocado para manifestação previamente a uma eventual desclassificação. (Instrução Normativa SEGES/MPDG nº 3, de 2018, art. 29, § 2º, c/c Decreto estadual nº 67.608, de 2023).</w:t>
      </w:r>
    </w:p>
    <w:p w14:paraId="40715B67"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7.3.3. Constatada a existência de sanção, o licitante será considerado inabilitado, por falta de condição de participação.</w:t>
      </w:r>
    </w:p>
    <w:p w14:paraId="57CC479F"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7.4. Caso atendidas as condições de participação, prosseguirá a análise da fase de julgamento da proposta classificada em primeiro lugar.</w:t>
      </w:r>
    </w:p>
    <w:p w14:paraId="52E48A5C"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7.5. Caso o licitante provisoriamente classificado em primeiro lugar tenha se utilizado de algum tratamento favorecido a microempresas e empresas de pequeno porte, o pregoeiro verificará se faz jus ao benefício, em conformidade com os subitens 3.5. e 4.4. deste Edital.</w:t>
      </w:r>
    </w:p>
    <w:p w14:paraId="249CBEF8"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7.6. 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w:t>
      </w:r>
    </w:p>
    <w:p w14:paraId="2C56F7E0"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7.6.1. Se a proposta vencedora for desclassificada, o pregoeiro examinará a proposta subsequente, e, assim sucessivamente, na ordem de classificação.</w:t>
      </w:r>
    </w:p>
    <w:p w14:paraId="1F7026AA"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7.6.2. Encerrada a fase de julgamento, caso se verifique a conformidade da proposta de que trata o subitem 7.6, o pregoeiro passará à verificação da documentação de habilitação do licitante conforme disposições do item 8.</w:t>
      </w:r>
    </w:p>
    <w:p w14:paraId="2C881CE1"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 xml:space="preserve">7.7. Será desclassificada a proposta vencedora que: </w:t>
      </w:r>
    </w:p>
    <w:p w14:paraId="7CC8A466"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7.7.1. Contiver vícios insanáveis;</w:t>
      </w:r>
    </w:p>
    <w:p w14:paraId="3857D3E4"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7.7.2. Não obedecer às especificações técnicas pormenorizadas neste edital ou em seus anexos;</w:t>
      </w:r>
    </w:p>
    <w:p w14:paraId="1C68AEF7"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7.7.3. Apresentar preços inexequíveis ou permanecer acima do preço máximo definido para a contratação;</w:t>
      </w:r>
    </w:p>
    <w:p w14:paraId="770D0B19"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7.7.4. Não tiver sua exequibilidade demonstrada, quando exigido pela Administração;</w:t>
      </w:r>
    </w:p>
    <w:p w14:paraId="4A6FC853"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lastRenderedPageBreak/>
        <w:t>7.7.5. Apresentar desconformidade com quaisquer outras exigências deste edital ou seus anexos, desde que insanável.</w:t>
      </w:r>
    </w:p>
    <w:p w14:paraId="3D64F6F0"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7.8. Serão considerados indício de inexequibilidade das propostas valores inferiores a 50% (cinquenta por cento) do valor orçado pela Administração.</w:t>
      </w:r>
    </w:p>
    <w:p w14:paraId="65622668"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7.8.1. A inexequibilidade, na hipótese de que trata a subdivisão acima, só será considerada após diligência do pregoeiro, que comprove:</w:t>
      </w:r>
    </w:p>
    <w:p w14:paraId="01686017"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7.8.1.1. que o custo do licitante ultrapassa o valor da proposta; e</w:t>
      </w:r>
    </w:p>
    <w:p w14:paraId="1C3B12F2"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7.8.1.2. inexistirem custos de oportunidade capazes de justificar o vulto da oferta.</w:t>
      </w:r>
    </w:p>
    <w:p w14:paraId="2152976C"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7.9. Se houver indícios de inexequibilidade da proposta de preço, ou em caso da necessidade de esclarecimentos complementares, poderão ser efetuadas diligências, para que o licitante comprove a exequibilidade da proposta.</w:t>
      </w:r>
    </w:p>
    <w:p w14:paraId="7887D07A"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7.10. 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0D55D065"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7.10.1. O ajuste de que trata a subdivisão acima se limita ao saneamento de erros ou falhas que não alterem a substância das propostas.</w:t>
      </w:r>
    </w:p>
    <w:p w14:paraId="30287C7F"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7.10.2. Considera-se erro no preenchimento da planilha passível de correção a indicação de recolhimento de impostos e contribuições na forma do Simples Nacional, quando não cabível esse regime.</w:t>
      </w:r>
    </w:p>
    <w:p w14:paraId="07454CC0" w14:textId="1C3CEAC2" w:rsidR="003D577F" w:rsidRPr="00592295"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7.11. Para fins de análise da proposta quanto ao cumprimento das especificações do objeto, poderá ser colhida a manifestação escrita do setor requisitante do serviço ou da área especializada no objeto.</w:t>
      </w:r>
    </w:p>
    <w:p w14:paraId="089E1FB8"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0" w:name="_Toc135469230"/>
      <w:r w:rsidRPr="00592295">
        <w:rPr>
          <w:rFonts w:ascii="Arial" w:eastAsia="Times New Roman" w:hAnsi="Arial" w:cs="Arial"/>
          <w:b/>
          <w:bCs/>
          <w:color w:val="000000"/>
          <w:sz w:val="18"/>
          <w:szCs w:val="18"/>
          <w:lang w:eastAsia="pt-BR"/>
        </w:rPr>
        <w:t>8 DA FASE DE HABILITAÇÃO</w:t>
      </w:r>
      <w:bookmarkEnd w:id="10"/>
    </w:p>
    <w:p w14:paraId="2CC1ADA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 Os documentos que serão exigidos para fins de habilitação estão especificados no Anexo I deste Edital, consistindo na documentação necessária e suficiente para demonstrar a capacidade do licitante de realizar o objeto da licitação, nos termos dos arts. 62 a 70 da Lei nº 14.133, de 2021.</w:t>
      </w:r>
    </w:p>
    <w:p w14:paraId="1D2FF36E"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8.1.1. A documentação exigida para fins de habilitação jurídica, fiscal, social e trabalhista e econômico-ﬁnanceira, poderá ser substituída pelo registro cadastral no SICAF.</w:t>
      </w:r>
    </w:p>
    <w:p w14:paraId="539A7DEE"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8.1.2. Nesta licitação, não haverá exigência de que o licitante ateste, sob pena de inabilitação, que conhece o local e as condições de realização do objeto, ou que tem conhecimento pleno das condições e peculiaridades da contratação.</w:t>
      </w:r>
    </w:p>
    <w:p w14:paraId="68DDEB6D"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8.1.3. Se for permitida a participação de pessoas jurídicas em consórcio em subdivisão do item 3, para efeito de habilitação técnica, caso exigida na documentação que integra este Edital como Anexo, será admitido o somatório dos quantitativos de cada consorciado e, para efeito de habilitação econômico-financeira, caso exigida na documentação que integra este Edital como Anexo, será admitido o somatório dos valores de cada consorciado.</w:t>
      </w:r>
    </w:p>
    <w:p w14:paraId="249D97E1"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8.1.3.1. Na hipótese de admissão da participação de pessoas jurídicas em consórcio e exigência de requisito(s) de habilitação econômico-financeira de que trata a subdivisão acima, se o consórcio não for formado integralmente por microempresas ou empresas de pequeno porte, haverá um acréscimo de 10% (dez por cento) para o consórcio em relação ao valor exigido dos licitantes individuais para habilitação econômico-financeira.</w:t>
      </w:r>
    </w:p>
    <w:p w14:paraId="4CD86010"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8.1.4. Se o licitante for a matriz, todos os documentos deverão estar em nome da matriz, e se o licitante for a filial, todos os documentos deverão estar em nome da filial, exceto para atestados de capacidade técnica, caso exigidos, e no caso daqueles documentos que, pela própria natureza, comprovadamente, forem emitidos somente em nome da matriz.</w:t>
      </w:r>
    </w:p>
    <w:p w14:paraId="23EA310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8.2. Os documentos exigidos para fins de habilitação poderão ser apresentados em original ou por cópia.</w:t>
      </w:r>
    </w:p>
    <w:p w14:paraId="6A67FD55"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8.3. Os documentos exigidos para fins de habilitação poderão ser substituídos por registro cadastral emitido por órgão ou entidade pública, desde que o registro tenha sido feito em obediência ao disposto na Lei nº 14.133, de 2021.</w:t>
      </w:r>
    </w:p>
    <w:p w14:paraId="326EA8A1"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8.4. Será verificado se o licitante apresentou declaração de que atende aos requisitos de habilitação, e o declarante responderá pela veracidade das informações prestadas, na forma da lei (art. 63, I, da Lei nº 14.133, de 2021).</w:t>
      </w:r>
    </w:p>
    <w:p w14:paraId="5A4800E7"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8.5. 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175784A6"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lastRenderedPageBreak/>
        <w:t>8.6. 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138888E8"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8.7. A habilitação será verificada por meio do Sicaf, nos documentos por ele abrangidos.</w:t>
      </w:r>
    </w:p>
    <w:p w14:paraId="77F8F363"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8.7.1. Somente haverá a necessidade de comprovação do preenchimento de requisitos mediante apresentação dos documentos originais não-digitais quando houver dúvida em relação à integridade do documento digital ou quando a lei expressamente o exigir. (Instrução Normativa SEGES/MPDG nº 3, de 2018, art. 4º, § 1º, e art. 6º, § 4º, c/c Decreto estadual nº 67.608, de 2023).</w:t>
      </w:r>
    </w:p>
    <w:p w14:paraId="249E0544"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8.8. 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(Instrução Normativa SEGES/MPDG nº 3, de 2018, art. 7º, caput, c/c Decreto estadual nº 67.608, de 2023).</w:t>
      </w:r>
    </w:p>
    <w:p w14:paraId="5D3CD58C"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8.8.1. A não observância do disposto na subdivisão acima poderá ensejar desclassificação no momento da habilitação. (Instrução Normativa SEGES/MPDG nº 3, de 2018, art. 7º, parágrafo único, c/c Decreto estadual nº 67.608, de 2023).</w:t>
      </w:r>
    </w:p>
    <w:p w14:paraId="01D93F85"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8.9. A verificação pelo pregoeiro, em sítios eletrônicos oficiais de órgãos e entidades emissores de certidões constitui meio legal de prova, para fins de habilitação.</w:t>
      </w:r>
    </w:p>
    <w:p w14:paraId="066674C3"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8.9.1. Os documentos exigidos para habilitação que não estejam contemplados no Sicaf serão enviados por meio do sistema, em formato digital, no prazo de 2 (duas) horas, prorrogável por igual período, contado da solicitação do pregoeiro.</w:t>
      </w:r>
    </w:p>
    <w:p w14:paraId="239A0D1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8.10. A verificação no Sicaf ou a exigência dos documentos nele não contidos somente será feita em relação ao licitante vencedor.</w:t>
      </w:r>
    </w:p>
    <w:p w14:paraId="67F541A6"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8.10.1. Os documentos relativos à regularidade fiscal especificados na documentação que integra este Edital como Anexo somente serão exigidos, em qualquer caso, em momento posterior ao julgamento das propostas, e apenas do licitante mais bem classificado.</w:t>
      </w:r>
    </w:p>
    <w:p w14:paraId="46E47C7F"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8.11. Após a entrega dos documentos para habilitação, não será permitida a substituição ou a apresentação de novos documentos, salvo em sede de diligência, para (Lei nº 14.133, de 2021, art. 64):</w:t>
      </w:r>
    </w:p>
    <w:p w14:paraId="4688E79B"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8.11.1. Complementação de informações acerca dos documentos já apresentados pelos licitantes e desde que necessária para apurar fatos existentes à época da abertura do certame; e</w:t>
      </w:r>
    </w:p>
    <w:p w14:paraId="0D2A0C7D"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8.11.2. Atualização de documentos cuja validade tenha expirado após a data de recebimento das propostas.</w:t>
      </w:r>
    </w:p>
    <w:p w14:paraId="212DCF75"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8.12. Na análise dos documentos de habilitação, o pregoeiro poderá sanar erros ou falhas que não alterem a substância dos documentos e sua validade jurídica, mediante decisão fundamentada, registrada em ata e acessível a todos, atribuindo-lhes eﬁcácia para fins de habilitação e classificação.</w:t>
      </w:r>
    </w:p>
    <w:p w14:paraId="757C903F"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8.13. Na hipótese de o licitante não atender às exigências para habilitação, o pregoeiro examinará a proposta subsequente e assim sucessivamente, na ordem de classificação, até a apuração de uma proposta que atenda ao presente Edital, observado o prazo definido no subitem 8.9.1.</w:t>
      </w:r>
    </w:p>
    <w:p w14:paraId="46B6AB6F"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8.14. Somente serão disponibilizados para acesso público os documentos de habilitação do licitante cuja proposta atenda ao Edital de licitação, após concluídos os procedimentos de que trata a subdivisão anterior.</w:t>
      </w:r>
    </w:p>
    <w:p w14:paraId="449DB23E" w14:textId="2BE698F1"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F20451">
        <w:rPr>
          <w:rFonts w:ascii="Arial" w:eastAsia="Times New Roman" w:hAnsi="Arial" w:cs="Arial"/>
          <w:sz w:val="18"/>
          <w:szCs w:val="18"/>
          <w:lang w:eastAsia="pt-BR"/>
        </w:rPr>
        <w:t xml:space="preserve">8.15. Não se aplica nesta licitação o tratamento favorecido estabelecido nos arts. 42 e 43 da Lei Complementar nº 123, de 2006, conforme definido em subdivisão do item 3.5. </w:t>
      </w:r>
    </w:p>
    <w:p w14:paraId="58A188D5" w14:textId="70CBC212" w:rsidR="003D577F" w:rsidRPr="00592295"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8.16. A disciplina da adjudicação e da homologação encontra-se no item 14 deste Edital.</w:t>
      </w:r>
    </w:p>
    <w:p w14:paraId="480B2C8B"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1" w:name="_Toc135469231"/>
      <w:r w:rsidRPr="00592295">
        <w:rPr>
          <w:rFonts w:ascii="Arial" w:eastAsia="Times New Roman" w:hAnsi="Arial" w:cs="Arial"/>
          <w:b/>
          <w:bCs/>
          <w:color w:val="000000"/>
          <w:sz w:val="18"/>
          <w:szCs w:val="18"/>
          <w:lang w:eastAsia="pt-BR"/>
        </w:rPr>
        <w:t>9. DA ATA DE REGISTRO DE PREÇOS</w:t>
      </w:r>
      <w:bookmarkStart w:id="12" w:name="_Hlk157601450"/>
      <w:bookmarkEnd w:id="11"/>
      <w:bookmarkEnd w:id="12"/>
    </w:p>
    <w:p w14:paraId="52D3015F"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9.1. Homologado o resultado da licitação, o licitante mais bem classificado terá o prazo de 02 (dois) dias, contados a partir da data de sua convocação, para assinar a Ata de Registro de Preços, conforme minuta que integra este Edital como Anexo, sob pena de decadência do direito, sem prejuízo das sanções previstas na Lei nº 14.133, de 2021. </w:t>
      </w:r>
    </w:p>
    <w:p w14:paraId="03E884BD"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9.1.1. O prazo de convocação poderá ser prorrogado uma vez, por igual período, mediante solicitação do licitante mais bem classificado ou do fornecedor convocado, desde que:</w:t>
      </w:r>
    </w:p>
    <w:p w14:paraId="0A38F75E"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lastRenderedPageBreak/>
        <w:t>a) a solicitação seja devidamente justificada e apresentada dentro do prazo; e</w:t>
      </w:r>
    </w:p>
    <w:p w14:paraId="4676872C"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b) a justificativa apresentada seja aceita pela Administração.</w:t>
      </w:r>
    </w:p>
    <w:p w14:paraId="4C2C7B66"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9.1.2. A ata de registro de preços será assinada com a utilização de meio eletrônico, nos termos da legislação aplicável, e disponibilizada no sistema de registro de preços.</w:t>
      </w:r>
    </w:p>
    <w:p w14:paraId="6186DEC8"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9.2. Serão formalizadas tantas Atas de Registro de Preços quantas forem necessárias para o registro de todos os itens constantes na documentação que integra este Edital, com a indicação do licitante vencedor, a descrição do(s) item(ns), as respectivas quantidades, preços registrados e demais condições.</w:t>
      </w:r>
    </w:p>
    <w:p w14:paraId="0E1D799F"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9.3. O preço registrado, com a indicação dos fornecedores, será divulgado no PNCP e disponibilizado durante a vigência da ata de registro de preços.</w:t>
      </w:r>
    </w:p>
    <w:p w14:paraId="1BCF8FDF"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9.4. A existência de preços registrados implicará compromisso de fornecimento nas condições estabelecidas, mas não obrigará a Administração a contratar, facultada a realização de licitação específica para a contratação pretendida, desde que devidamente justificada.</w:t>
      </w:r>
    </w:p>
    <w:p w14:paraId="0F1A78BF" w14:textId="04CF1FF4" w:rsidR="003D577F" w:rsidRPr="00592295"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9.5. Na hipótese de o convocado não assinar a ata de registro de preços no prazo e nas condições estabelecidas neste item 9, a Administração poderá convocar os licitantes remanescentes do cadastro de reserva, na ordem de classificação, para fazê-lo em igual prazo e nas condições propostas pelo primeiro classificado, observado o disposto no item 10 deste Edital.</w:t>
      </w:r>
    </w:p>
    <w:p w14:paraId="0596DDC1"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3" w:name="_Toc135469232"/>
      <w:r w:rsidRPr="00592295">
        <w:rPr>
          <w:rFonts w:ascii="Arial" w:eastAsia="Times New Roman" w:hAnsi="Arial" w:cs="Arial"/>
          <w:b/>
          <w:bCs/>
          <w:color w:val="000000"/>
          <w:sz w:val="18"/>
          <w:szCs w:val="18"/>
          <w:lang w:eastAsia="pt-BR"/>
        </w:rPr>
        <w:t>10 DA FORMAÇÃO DO CADASTRO DE RESERVA</w:t>
      </w:r>
      <w:bookmarkEnd w:id="13"/>
    </w:p>
    <w:p w14:paraId="58292FF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10.1. Após a homologação da licitação, será incluído na ata, na forma de anexo, o registro:</w:t>
      </w:r>
    </w:p>
    <w:p w14:paraId="3F223B5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a) dos licitantes que aceitarem cotar o objeto com preço igual ao do adjudicatário, observada a classificação na licitação; e</w:t>
      </w:r>
    </w:p>
    <w:p w14:paraId="33850864"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b) dos licitantes que mantiverem sua proposta original.</w:t>
      </w:r>
    </w:p>
    <w:p w14:paraId="119FA8D1"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10.2. As contratações respeitarão a ordem de classificação dos licitantes registrados na ata.</w:t>
      </w:r>
    </w:p>
    <w:p w14:paraId="351C0E27"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10.2.1. A apresentação de novas propostas dos licitantes que aceitarem cotar o objeto com preço igual ao do adjudicatário na forma da alínea “a” do subitem anterior não prejudicará o resultado do certame em relação ao licitante mais bem classificado.</w:t>
      </w:r>
    </w:p>
    <w:p w14:paraId="1057B8CD"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10.2.2. Os licitantes que aceitarem cotar o objeto com preço igual ao do adjudicatário antecederão, na ordem de classificação, aqueles que mantiverem sua proposta original.</w:t>
      </w:r>
    </w:p>
    <w:p w14:paraId="105940A8"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10.3. A fase de apresentação de amostra(s) ou de execução de prova de conceito que seja exigida na documentação que integra este Edital, quando houver, e a habilitação dos licitantes que comporão o cadastro de reserva serão efetuadas quando houver necessidade de contratação dos licitantes remanescentes, nas seguintes hipóteses:</w:t>
      </w:r>
    </w:p>
    <w:p w14:paraId="4B1218A4"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a) quando o licitante vencedor não assinar a ata de registro de preços no prazo e nas condições estabelecidos neste Edital; ou</w:t>
      </w:r>
    </w:p>
    <w:p w14:paraId="392C9E6D"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b) quando houver o cancelamento do registro do fornecedor ou o cancelamento parcial do registro de preços, nas hipóteses previstas no item 9 da Ata de Registro de Preços, conforme minuta que integra este Edital como Anexo.</w:t>
      </w:r>
    </w:p>
    <w:p w14:paraId="7E7CD115"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10.4. Na hipótese de nenhum dos licitantes que aceitaram cotar o objeto com preço igual ao do adjudicatário concordar com a contratação em igual prazo e nas condições propostas pelo primeiro classificado, a Administração, observados o valor estimado e a sua eventual atualização na forma prevista na documentação que integra este Edital, poderá:</w:t>
      </w:r>
    </w:p>
    <w:p w14:paraId="156E1455"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a) convocar os licitantes que mantiveram sua proposta original para negociação, na ordem de classificação, com vistas à obtenção de preço melhor, mesmo que acima do preço do adjudicatário;</w:t>
      </w:r>
    </w:p>
    <w:p w14:paraId="53D2F5EA" w14:textId="3B0EC48A" w:rsidR="003D577F" w:rsidRPr="00592295"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b) adjudicar e celebrar a contratação nas condições ofertadas pelos licitantes remanescentes, observados o disposto neste item 10 e a ordem de classificação, quando frustrada a negociação de melhor condição.</w:t>
      </w:r>
    </w:p>
    <w:p w14:paraId="5F31016D"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4" w:name="_Toc135469233"/>
      <w:r w:rsidRPr="00592295">
        <w:rPr>
          <w:rFonts w:ascii="Arial" w:eastAsia="Times New Roman" w:hAnsi="Arial" w:cs="Arial"/>
          <w:b/>
          <w:bCs/>
          <w:color w:val="000000"/>
          <w:sz w:val="18"/>
          <w:szCs w:val="18"/>
          <w:lang w:eastAsia="pt-BR"/>
        </w:rPr>
        <w:t>11 DOS RECURSOS</w:t>
      </w:r>
      <w:bookmarkEnd w:id="14"/>
    </w:p>
    <w:p w14:paraId="1A1B9E2C"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11.1. A interposição de recurso referente ao julgamento das propostas, à habilitação ou inabilitação de licitantes, à anulação ou revogação da licitação, observará o disposto no art. 165 da Lei nº 14.133, de 2021.</w:t>
      </w:r>
    </w:p>
    <w:p w14:paraId="308FC2B2"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lastRenderedPageBreak/>
        <w:t>11.2. O prazo recursal é de 3 (três) dias úteis, contados da data de intimação ou de lavratura da ata.</w:t>
      </w:r>
    </w:p>
    <w:p w14:paraId="162CEFCC"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11.3. Quando o recurso apresentado impugnar o julgamento das propostas ou o ato de habilitação ou inabilitação do licitante:</w:t>
      </w:r>
    </w:p>
    <w:p w14:paraId="54F82360"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11.3.1. a intenção de recorrer deverá ser manifestada imediatamente, sob pena de preclusão;</w:t>
      </w:r>
    </w:p>
    <w:p w14:paraId="4E71F18A"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11.3.2. o prazo para a manifestação da intenção de recorrer não será inferior a 10 (dez) minutos;</w:t>
      </w:r>
    </w:p>
    <w:p w14:paraId="044C28E8"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11.3.3. o prazo para apresentação das razões recursais será iniciado na data de intimação ou de lavratura da ata de habilitação ou inabilitação.</w:t>
      </w:r>
    </w:p>
    <w:p w14:paraId="78CA03BA"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11.4. Os recursos deverão ser encaminhados em campo próprio do sistema.</w:t>
      </w:r>
    </w:p>
    <w:p w14:paraId="78FDE04A"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11.5. O recurso será dirigido à autoridade que tiver editado o ato ou proferido a decisão recorrida, a qual poderá reconsiderar sua decisão no prazo de 3 (três) dias úteis, ou, nesse mesmo prazo, encaminhar o recurso para a autoridade superior, a qual deverá proferir sua decisão no prazo de 10 (dez) dias úteis, contado do recebimento dos autos.</w:t>
      </w:r>
    </w:p>
    <w:p w14:paraId="3E92827A"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11.6. Os recursos interpostos fora do prazo não serão conhecidos. </w:t>
      </w:r>
    </w:p>
    <w:p w14:paraId="15A44516"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11.7. 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59FB0A66"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11.8. O recurso terá efeito suspensivo do ato ou da decisão recorrida até que sobrevenha decisão final da autoridade competente. </w:t>
      </w:r>
    </w:p>
    <w:p w14:paraId="0ECAC7BF"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11.9. O acolhimento do recurso invalida tão somente os atos insuscetíveis de aproveitamento. </w:t>
      </w:r>
    </w:p>
    <w:p w14:paraId="5F56708E" w14:textId="145D91F4" w:rsidR="003D577F" w:rsidRPr="00592295"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11.10. Os autos do processo permanecerão com vista franqueada aos interessados pelo meio eletrônico Sistema Eletrônico de Informações – SEI do Estado de São Paulo (https://portal.sei.sp.gov.br/sei).</w:t>
      </w:r>
    </w:p>
    <w:p w14:paraId="1228ECB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5" w:name="_Toc135469234"/>
      <w:r w:rsidRPr="00592295">
        <w:rPr>
          <w:rFonts w:ascii="Arial" w:eastAsia="Times New Roman" w:hAnsi="Arial" w:cs="Arial"/>
          <w:b/>
          <w:bCs/>
          <w:color w:val="000000"/>
          <w:sz w:val="18"/>
          <w:szCs w:val="18"/>
          <w:lang w:eastAsia="pt-BR"/>
        </w:rPr>
        <w:t>12 DAS INFRAÇÕES ADMINISTRATIVAS E SANÇÕES</w:t>
      </w:r>
      <w:bookmarkEnd w:id="15"/>
    </w:p>
    <w:p w14:paraId="0531D307"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12.1. Comete infração administrativa, nos termos da lei, o licitante ou contratado que, com dolo ou culpa: </w:t>
      </w:r>
    </w:p>
    <w:p w14:paraId="63796C6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12.1.1. der causa à inexecução parcial do contrato;</w:t>
      </w:r>
    </w:p>
    <w:p w14:paraId="4440F32D"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12.1.2. der causa à inexecução parcial do contrato que cause grave dano à administração ou ao funcionamento dos serviços públicos ou ao interesse coletivo;</w:t>
      </w:r>
    </w:p>
    <w:p w14:paraId="0ABDE8EE"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12.1.3. der causa à inexecução total do contrato;</w:t>
      </w:r>
    </w:p>
    <w:p w14:paraId="329DB54C"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12.1.4. deixar de entregar a documentação exigida para o certame, inclusive não entregar qualquer documento que tenha sido solicitado pelo pregoeiro durante o certame;</w:t>
      </w:r>
    </w:p>
    <w:p w14:paraId="6740FF58"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12.1.5. salvo em decorrência de fato superveniente devidamente justificado, não mantiver a proposta, em especial quando:</w:t>
      </w:r>
    </w:p>
    <w:p w14:paraId="4390D1E6"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12.1.5.1. não enviar a proposta adequada ao último lance ofertado ou após a negociação; </w:t>
      </w:r>
    </w:p>
    <w:p w14:paraId="25D132DB"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12.1.5.2. recusar-se a enviar o detalhamento da proposta quando exigível; </w:t>
      </w:r>
    </w:p>
    <w:p w14:paraId="6598CE47"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12.1.5.3. pedir para ser desclassificado quando encerrada a etapa competitiva;</w:t>
      </w:r>
    </w:p>
    <w:p w14:paraId="322E6803"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12.1.5.4. deixar de apresentar amostra, caso exigida na documentação que integra este edital; ou</w:t>
      </w:r>
    </w:p>
    <w:p w14:paraId="39591C5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12.1.5.5. caso exigida na documentação que integra este edital, apresentar amostra em desacordo com as especificações do edital; </w:t>
      </w:r>
    </w:p>
    <w:p w14:paraId="2AA15355"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12.1.6. não celebrar o contrato ou não entregar a documentação exigida para a contratação, quando convocado dentro do prazo de validade de sua proposta;</w:t>
      </w:r>
    </w:p>
    <w:p w14:paraId="0A06A4EC"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12.1.6.1. recusar-se, sem justificativa, a formalizar a contratação ou a ata de registro de preço (caso o item 1 defina licitação para registro de preços) no prazo e condições estabelecidos pela administração;</w:t>
      </w:r>
    </w:p>
    <w:p w14:paraId="3BF19853"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lastRenderedPageBreak/>
        <w:t>12.1.7. ensejar o retardamento da execução ou da entrega do objeto da contratação sem motivo justificado;</w:t>
      </w:r>
    </w:p>
    <w:p w14:paraId="3E6D708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12.1.8. apresentar declaração ou documentação falsa exigida para o certame ou prestar declaração falsa durante a licitação ou a execução do contrato;</w:t>
      </w:r>
    </w:p>
    <w:p w14:paraId="0782FD15"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12.1.9. fraudar a licitação ou praticar ato fraudulento na execução do contrato;</w:t>
      </w:r>
    </w:p>
    <w:p w14:paraId="4733C2C7"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12.1.10. comportar-se de modo inidôneo ou cometer fraude de qualquer natureza, em especial quando:</w:t>
      </w:r>
    </w:p>
    <w:p w14:paraId="27C43651"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12.1.10.1. agir em conluio ou em desconformidade com a lei; </w:t>
      </w:r>
    </w:p>
    <w:p w14:paraId="2D649C17"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12.1.10.2. induzir deliberadamente a erro no julgamento; </w:t>
      </w:r>
    </w:p>
    <w:p w14:paraId="07C4EFF5"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12.1.10.3. caso exigida na documentação que integra este edital, apresentar amostra falsificada ou deteriorada; </w:t>
      </w:r>
    </w:p>
    <w:p w14:paraId="29363610"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12.1.11. praticar atos ilícitos com vistas a frustrar os objetivos da licitação;</w:t>
      </w:r>
    </w:p>
    <w:p w14:paraId="1FC4D62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12.1.12. praticar ato lesivo previsto no art. 5º da lei n.º 12.846, de 2013.</w:t>
      </w:r>
    </w:p>
    <w:p w14:paraId="5D58AE45" w14:textId="1BEC3F61"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12.2. Com fundamento na lei nº 14.133, de 2021, a administração poderá, após regular processo administrativo, garantida a prévia defesa, aplicar aos licitantes, adjudicatários e/ou contratado as seguintes sanções, sem prejuízo das responsabilidades civil e criminal: </w:t>
      </w:r>
    </w:p>
    <w:p w14:paraId="2E2282EE"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12.2.1. advertência; </w:t>
      </w:r>
    </w:p>
    <w:p w14:paraId="7D05B395"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12.2.2. multa;</w:t>
      </w:r>
    </w:p>
    <w:p w14:paraId="5EC75423"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12.2.3. impedimento de licitar e contratar; e</w:t>
      </w:r>
    </w:p>
    <w:p w14:paraId="1FF3AA0B"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12.2.4. declaração de inidoneidade para licitar ou contratar.</w:t>
      </w:r>
    </w:p>
    <w:p w14:paraId="61CF2DFA"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12.3. Na aplicação das sanções serão considerados:</w:t>
      </w:r>
    </w:p>
    <w:p w14:paraId="6423C2AF"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12.3.1. a natureza e a gravidade da infração cometida;</w:t>
      </w:r>
    </w:p>
    <w:p w14:paraId="4AF09EDF"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12.3.2. as peculiaridades do caso concreto;</w:t>
      </w:r>
    </w:p>
    <w:p w14:paraId="0C0BAF0D"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12.3.3. as circunstâncias agravantes ou atenuantes;</w:t>
      </w:r>
    </w:p>
    <w:p w14:paraId="374737A0"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12.3.4. os danos que dela provierem para a administração pública;</w:t>
      </w:r>
    </w:p>
    <w:p w14:paraId="422DCDEA"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12.3.5. a implantação ou o aperfeiçoamento de programa de integridade, conforme normas e orientações dos órgãos de controle.</w:t>
      </w:r>
    </w:p>
    <w:p w14:paraId="72416D36"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12.4. A sanção de multa será calculada em conformidade com a documentação que integra este instrumento, e aplicada após regular processo administrativo.</w:t>
      </w:r>
    </w:p>
    <w:p w14:paraId="53079D56"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12.5. As sanções de advertência, impedimento de licitar e contratar e declaração de inidoneidade para licitar ou contratar poderão ser aplicadas cumulativamente com a penalidade de multa, garantido o exercício de prévia e ampla defesa.</w:t>
      </w:r>
    </w:p>
    <w:p w14:paraId="662BDBA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12.6. Antes da aplicação da sanção de multa será facultada a defesa do interessado no prazo de 15 (quinze) dias úteis, contado da data de sua intimação.</w:t>
      </w:r>
    </w:p>
    <w:p w14:paraId="3B96C00E"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12.7. A sanção de advertência será aplicada, após regular processo administrativo, ao responsável em decorrência da infração administrativa relacionada no subitem 12.1.1, quando não se justificar a imposição de penalidade mais grave.</w:t>
      </w:r>
    </w:p>
    <w:p w14:paraId="2152B4E0"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12.8. A sanção de impedimento de licitar e contratar será aplicada, após regular processo administrativo, ao responsável em decorrência das infrações administrativas relacionadas nos itens 12.1.2, 12.1.3, 12.1.4, 12.1.5, 12.1.6 e 12.1.7, quando não se justificar a imposição de penalidade mais grave, e impedirá o responsável de licitar ou contratar no âmbito da Administração Pública direta e indireta do Estado de São Paulo, pelo prazo máximo de 3 (três) anos.</w:t>
      </w:r>
    </w:p>
    <w:p w14:paraId="7CF1BC67"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12.9. A sanção de declaração de inidoneidade para licitar ou contratar será aplicada, após regular processo administrativo, ao responsável em decorrência das infrações administrativas relacionadas nos subitens 12.1.8, 12.1.9, 12.1.10, 12.1.11 e 12.1.12, bem como das infrações administrativas previstas nos itens 12.1.2, 12.1.3, 12.1.4, 12.1.5, 12.1.6 e 12.1.7 que </w:t>
      </w:r>
      <w:r w:rsidRPr="00BD0376">
        <w:rPr>
          <w:rFonts w:ascii="Arial" w:eastAsia="Times New Roman" w:hAnsi="Arial" w:cs="Arial"/>
          <w:color w:val="000000"/>
          <w:sz w:val="18"/>
          <w:szCs w:val="18"/>
          <w:lang w:eastAsia="pt-BR"/>
        </w:rPr>
        <w:lastRenderedPageBreak/>
        <w:t>justifiquem a imposição de penalidade mais grave que a sanção de impedimento de licitar e contratar, cuja extensão e duração observará o prazo previsto no art. 156, § 5º, da Lei n.º 14.133, de 2021.</w:t>
      </w:r>
    </w:p>
    <w:p w14:paraId="60D5C31D"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12.10. A recusa injustificada do adjudicatário em formalizar a contratação ou a ata de registro de preços (caso se trate de licitação para registro de preços) no prazo e condições estabelecidos pela Administração, descrita no item 12.1.6.1, caracterizará o descumprimento total da obrigação assumida e o sujeitará às penalidades legalmente estabelecidas (art. 90, § 5º, da Lei nº 14.133, de 2021). </w:t>
      </w:r>
    </w:p>
    <w:p w14:paraId="03AB0794"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12.11. A apuração de responsabilidade relacionada às sanções de impedimento de licitar e contratar e de declaração de inidoneidade para licitar ou contratar demandará a instauração de processo de responsabilização a ser conduzido por comissão composta nos termos do art. 158 da Lei nº 14.133, de 2021, que avaliará fatos e circunstâncias conhecidos e intimará o licitante, o adjudicatário ou o Contratado para, no prazo de 15 (quinze) dias úteis, contado da data de sua intimação, apresentar defesa escrita e especificar as provas que pretenda produzir. </w:t>
      </w:r>
    </w:p>
    <w:p w14:paraId="534E7CA6"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12.12. As sanções são autônomas e a aplicação de uma não exclui a de outra.</w:t>
      </w:r>
    </w:p>
    <w:p w14:paraId="0510DBE0"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12.13. Da aplicação das sanções de advertência, multa e impedimento de licitar e contratar, caberá recurso no prazo de 15 (quinze) dias úteis, contado da data da intimação, observando-se o disposto no art. 166 da Lei nº 14.133, de 2021.</w:t>
      </w:r>
    </w:p>
    <w:p w14:paraId="72CFE59B"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12.14. Da aplicação da sanção de declaração de inidoneidade para licitar ou contratar, caberá pedido de reconsideração no prazo de 15 (quinze) dias úteis, contado da data da intimação, observando-se o disposto no art. 167 da Lei nº 14.133, de 2021.</w:t>
      </w:r>
    </w:p>
    <w:p w14:paraId="2CA86538"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12.15. O recurso e o pedido de reconsideração terão efeito suspensivo do ato ou da decisão recorrida até que sobrevenha decisão final da autoridade competente.</w:t>
      </w:r>
    </w:p>
    <w:p w14:paraId="533FDD33"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12.16. A aplicação das sanções previstas neste Edital não exclui, em hipótese alguma, a obrigação de reparação integral dos danos causados à Administração Pública.</w:t>
      </w:r>
    </w:p>
    <w:p w14:paraId="5415CEC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12.17. Se a multa aplicada e as indenizações cabíveis forem superiores ao valor do pagamento eventualmente devido pelo Contratante ao Contratado, além da perda desse valor, a diferença será descontada da garantia prestada, caso exigida na documentação que integra o Edital, ou, quando for o caso, será cobrada judicialmente (art. 156, § 8º, da Lei nº 14.133, de 2021).</w:t>
      </w:r>
    </w:p>
    <w:p w14:paraId="63AAC604"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12.18. Os atos previstos como infrações administrativas na lei de licitações e contratos da Administração Pública que também sejam tipificados como atos lesivos na Lei nº 12.846, de 2013, serão apurados e julgados conjuntamente, nos mesmos autos, observados o rito procedimental e a autoridade competente definidos na referida Lei.</w:t>
      </w:r>
    </w:p>
    <w:p w14:paraId="297B6EDB"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12.19. A personalidade jurídica poderá ser desconsiderada sempre que utilizada com abuso do direito para facilitar, encobrir ou dissimular a prática dos atos ilícitos previstos na Lei nº 14.133, de 2021,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nos termos do art. 160 do referido diploma legal.</w:t>
      </w:r>
    </w:p>
    <w:p w14:paraId="7F589482"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12.20. O Contratante deverá, no prazo máximo 15 (quinze) dias úteis, contado da data de aplicação da sanção, informar e manter atualizados os dados relativos às sanções por ele aplicadas, para fins de publicidade no Cadastro Nacional de Empresas Inidôneas e Suspensas (Ceis) e no Cadastro Nacional de Empresas Punidas (Cnep), instituídos no âmbito do Poder Executivo federal (art. 161 da Lei nº 14.133, de 2021).</w:t>
      </w:r>
    </w:p>
    <w:p w14:paraId="04462DF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12.21. Tratando-se de licitação para registro de preços:</w:t>
      </w:r>
    </w:p>
    <w:p w14:paraId="135E6EEB"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12.21.1. Será da competência do órgão ou entidade gerenciadora, garantidos o contraditório e a ampla defesa, aplicar as penalidades decorrentes de infrações no procedimento licitatório, do descumprimento do pactuado na ata de registro de preço, em relação à sua demanda registrada, ou do descumprimento das obrigações contratuais, em relação às suas próprias contratações.</w:t>
      </w:r>
    </w:p>
    <w:p w14:paraId="28D1EF76"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12.21.2. Será da competência do respectivo órgão ou entidade participante, garantidos o contraditório e a ampla defesa, aplicar as penalidades decorrentes do descumprimento do pactuado na ata de registro de preço, em relação à sua demanda registrada, ou do descumprimento das obrigações contratuais, em relação às suas próprias contratações.</w:t>
      </w:r>
    </w:p>
    <w:p w14:paraId="2DB1E34A" w14:textId="18DC3D4A" w:rsidR="003D577F" w:rsidRPr="00592295"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12.21.3. O órgão ou entidade participante deverá informar ao órgão ou entidade gerenciadora as ocorrências descritas na subdivisão anterior.</w:t>
      </w:r>
    </w:p>
    <w:p w14:paraId="1C694A5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6" w:name="_Toc135469235"/>
      <w:r w:rsidRPr="00592295">
        <w:rPr>
          <w:rFonts w:ascii="Arial" w:eastAsia="Times New Roman" w:hAnsi="Arial" w:cs="Arial"/>
          <w:b/>
          <w:bCs/>
          <w:color w:val="000000"/>
          <w:sz w:val="18"/>
          <w:szCs w:val="18"/>
          <w:lang w:eastAsia="pt-BR"/>
        </w:rPr>
        <w:t>13 DA IMPUGNAÇÃO AO EDITAL E DO PEDIDO DE ESCLARECIMENTO</w:t>
      </w:r>
      <w:bookmarkEnd w:id="16"/>
    </w:p>
    <w:p w14:paraId="0E562894" w14:textId="33633B54" w:rsidR="003D577F" w:rsidRPr="00592295" w:rsidRDefault="00BD0376"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lastRenderedPageBreak/>
        <w:t>13.1. Qualquer pessoa é parte legítima para impugnar este Edital por irregularidade na aplicação da Lei nº 14.133, de 2021, ou para solicitar esclarecimento sobre os seus termos, devendo protocolar a impugnação ou o pedido de esclarecimento até 3 (três) dias úteis antes da data da abertura do certame.</w:t>
      </w:r>
    </w:p>
    <w:p w14:paraId="1A5F6CFE" w14:textId="4519502E"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13.2 A impugnação e o pedido de esclarecimento poderão ser realizados por forma eletrônica, pelo(s) seguinte(s) meio(s): </w:t>
      </w:r>
      <w:r w:rsidR="00BD0376">
        <w:rPr>
          <w:rFonts w:ascii="Arial" w:eastAsia="Times New Roman" w:hAnsi="Arial" w:cs="Arial"/>
          <w:color w:val="000000"/>
          <w:sz w:val="18"/>
          <w:szCs w:val="18"/>
          <w:lang w:eastAsia="pt-BR"/>
        </w:rPr>
        <w:t>e-mails</w:t>
      </w:r>
      <w:r w:rsidRPr="00592295">
        <w:rPr>
          <w:rFonts w:ascii="Arial" w:eastAsia="Times New Roman" w:hAnsi="Arial" w:cs="Arial"/>
          <w:color w:val="000000"/>
          <w:sz w:val="18"/>
          <w:szCs w:val="18"/>
          <w:lang w:eastAsia="pt-BR"/>
        </w:rPr>
        <w:t> </w:t>
      </w:r>
      <w:r w:rsidR="0075405C">
        <w:rPr>
          <w:rFonts w:ascii="Arial" w:eastAsia="Times New Roman" w:hAnsi="Arial" w:cs="Arial"/>
          <w:b/>
          <w:bCs/>
          <w:color w:val="000000"/>
          <w:sz w:val="18"/>
          <w:szCs w:val="18"/>
          <w:lang w:eastAsia="pt-BR"/>
        </w:rPr>
        <w:t xml:space="preserve">edital.matmedico@hc.fm.usp.br e </w:t>
      </w:r>
      <w:r w:rsidR="00117CAF">
        <w:rPr>
          <w:rFonts w:ascii="Arial" w:eastAsia="Times New Roman" w:hAnsi="Arial" w:cs="Arial"/>
          <w:b/>
          <w:bCs/>
          <w:color w:val="000000"/>
          <w:sz w:val="18"/>
          <w:szCs w:val="18"/>
          <w:lang w:eastAsia="pt-BR"/>
        </w:rPr>
        <w:t>gtam</w:t>
      </w:r>
      <w:r w:rsidR="00117CAF" w:rsidRPr="0075405C">
        <w:rPr>
          <w:rFonts w:ascii="Arial" w:eastAsia="Times New Roman" w:hAnsi="Arial" w:cs="Arial"/>
          <w:b/>
          <w:bCs/>
          <w:color w:val="000000"/>
          <w:sz w:val="18"/>
          <w:szCs w:val="18"/>
          <w:lang w:eastAsia="pt-BR"/>
        </w:rPr>
        <w:t>@hc.fm.usp.br</w:t>
      </w:r>
      <w:r w:rsidR="00117CAF">
        <w:rPr>
          <w:rFonts w:ascii="Arial" w:eastAsia="Times New Roman" w:hAnsi="Arial" w:cs="Arial"/>
          <w:b/>
          <w:bCs/>
          <w:color w:val="000000"/>
          <w:sz w:val="18"/>
          <w:szCs w:val="18"/>
          <w:lang w:eastAsia="pt-BR"/>
        </w:rPr>
        <w:t>.</w:t>
      </w:r>
    </w:p>
    <w:p w14:paraId="15483F7E"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13.3. As impugnações e pedidos de esclarecimentos não suspendem os prazos previstos no certame.</w:t>
      </w:r>
    </w:p>
    <w:p w14:paraId="0FB87D5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13.3.1. A concessão de efeito suspensivo à impugnação é medida excepcional, e, caso ocorra, será motivada nos autos do processo de licitação.</w:t>
      </w:r>
    </w:p>
    <w:p w14:paraId="33AD7821"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13.4. A decisão da impugnação ou a resposta ao pedido de esclarecimento serão divulgadas em sítio eletrônico oficial conforme especificado na subdivisão subsequente, no prazo de até 3 (três) dias úteis, limitado ao último dia útil anterior à data da abertura do certame.</w:t>
      </w:r>
    </w:p>
    <w:p w14:paraId="20E657B1"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13.4.1. As decisões das impugnações e as respostas aos pedidos de esclarecimento serão juntadas aos autos do processo licitatório, ficarão disponíveis para consulta por qualquer interessado, e serão publicadas no sistema no(s) endereço(s) eletrônico(s) na Internet: www.compras.gov.br, sem informar a identidade do responsável pela impugnação ou pelo pedido de esclarecimento.</w:t>
      </w:r>
    </w:p>
    <w:p w14:paraId="3FBEE2A3"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13.5. Acolhida a impugnação, será definida e publicada nova data para a realização do certame, exceto quando a alteração não comprometer a formulação das propostas.</w:t>
      </w:r>
    </w:p>
    <w:p w14:paraId="1909700B"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13.6. A ausência de impugnação implicará na aceitação tácita, pelo licitante, das condições previstas neste Edital e em seus Anexos.</w:t>
      </w:r>
    </w:p>
    <w:p w14:paraId="63EA3705" w14:textId="1A1C0DE5" w:rsidR="003D577F" w:rsidRPr="00592295"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13.7. A ausência de pedido de esclarecimento implicará na presunção de que os interessados não tiveram dúvidas a respeito da presente licitação, razão pela qual não serão admitidos questionamentos extemporâneos.</w:t>
      </w:r>
    </w:p>
    <w:p w14:paraId="2B4DB7A6"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7" w:name="_Toc135469236"/>
      <w:r w:rsidRPr="00592295">
        <w:rPr>
          <w:rFonts w:ascii="Arial" w:eastAsia="Times New Roman" w:hAnsi="Arial" w:cs="Arial"/>
          <w:b/>
          <w:bCs/>
          <w:color w:val="000000"/>
          <w:sz w:val="18"/>
          <w:szCs w:val="18"/>
          <w:lang w:eastAsia="pt-BR"/>
        </w:rPr>
        <w:t>14 DAS DISPOSIÇÕES GERAIS</w:t>
      </w:r>
      <w:bookmarkEnd w:id="17"/>
    </w:p>
    <w:p w14:paraId="4F9FB577"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14.1. Exaurida a fase recursal, será observado o disposto no art. 71 da Lei nº 14.133, de 2021.</w:t>
      </w:r>
    </w:p>
    <w:p w14:paraId="3D018174"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14.1.1. Constatada a regularidade dos atos praticados, a autoridade superior adjudicará o objeto da licitação ao licitante vencedor e homologará o procedimento licitatório.</w:t>
      </w:r>
    </w:p>
    <w:p w14:paraId="7DD01634"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 A disciplina da formalização da contratação observará o disposto nas subdivisões deste item 14.2.</w:t>
      </w:r>
    </w:p>
    <w:p w14:paraId="32F0CBA4"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14.2.1. Após a homologação da licitação, em sendo realizada a contratação, sua formalização ocorrerá mediante a emissão de nota de empenho:</w:t>
      </w:r>
    </w:p>
    <w:p w14:paraId="5AC12B11"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14.2.2. O Contratante irá efetuar o envio da nota de empenho, por meio eletrônico, e o adjudicatário terá o prazo de 02 (dois) dias úteis, contados a partir da data do envio, para a sua confirmação de recebimento sob pena de decadência do direito, sem prejuízo das sanções previstas Lei nº 14.133, de 2021.</w:t>
      </w:r>
    </w:p>
    <w:p w14:paraId="3F9E18DF"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14.2.2.1. A ausência de envio de confirmação de recebimento dentro do prazo previsto na subdivisão anterior importará na recusa à contratação, sujeita à aplicação das sanções cabíveis.</w:t>
      </w:r>
    </w:p>
    <w:p w14:paraId="2F2CF9DB"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14.2.2.2 O envio de confirmação de recebimento da nota de empenho por meio eletrônico, implica a ciência e a concordância pelo adjudicatário:</w:t>
      </w:r>
    </w:p>
    <w:p w14:paraId="6B7A0E0A"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14.2.2.2.1. de que referida Nota de empenho está substituindo o instrumento de contrato, aplicando-se à relação jurídica ali estabelecida as disposições da Lei nº 14.133, de 2021;</w:t>
      </w:r>
    </w:p>
    <w:p w14:paraId="44797A69"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14.2.2.2.2. de que está vinculado às previsões contidas neste Edital e seus Anexos e à sua proposta;</w:t>
      </w:r>
    </w:p>
    <w:p w14:paraId="0359F3D4"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14.2.2.2.3. de que se aplicam às omissões as disposições da Lei nº 14.133, de 2021, e normas regulamentares pertinentes, e, subsidiariamente, as disposições da Lei nº 8.078, de 1990, e princípios gerais dos contratos;</w:t>
      </w:r>
    </w:p>
    <w:p w14:paraId="2CEBABC9"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14.2.2.2.4. de que as hipóteses de extinção da contratação são aquelas previstas nos artigos 137 e 138 da Lei nº 14.133, de 2021;</w:t>
      </w:r>
    </w:p>
    <w:p w14:paraId="682A1875"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14.2.2.2.5. dos direitos da Administração previstos nos artigos 137 a 139 da Lei nº 14.133, de 2021;</w:t>
      </w:r>
    </w:p>
    <w:p w14:paraId="31F9238F"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lastRenderedPageBreak/>
        <w:t>14.2.2.2.6. de que as condições de habilitação e contratação consignadas neste Edital deverão ser mantidas pelo fornecedor durante a vigência da contratação.</w:t>
      </w:r>
    </w:p>
    <w:p w14:paraId="3DD603BC"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14.2.2.2.7. de que serão observados a Lei nº 12.846, de 2013, e o Decreto estadual nº 69.588, de 2025, e as vedações constantes do Decreto estadual nº 68.829, de 2024, e dos artigos 14 e 48, parágrafo único, da Lei nº 14.133, de 2021.</w:t>
      </w:r>
    </w:p>
    <w:p w14:paraId="565A1485"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14.2.3. Após a homologação da licitação, em sendo realizada a contratação, se sua formalização ocorrer mediante a assinatura de Termo de Contrato, cuja minuta integra este Edital como Anexo.</w:t>
      </w:r>
    </w:p>
    <w:p w14:paraId="58D20842"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14.2.3.1. Se, por ocasião da formalização da contratação, algum dos documentos apresentados pelo adjudicatário para fins de comprovação das condições de habilitação estiver com o prazo de validade expirado, a Administração verificará a situação por meio eletrônico hábil de informações e certificará a regularidade nos autos do processo, anexando a ele os documentos comprobatórios, salvo impossibilidade devidamente justificada.</w:t>
      </w:r>
    </w:p>
    <w:p w14:paraId="0C93B2EE"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14.2.3.2. Se não for possível atualizar os documentos referidos na subdivisão acima por meio eletrônico hábil de informações, o adjudicatário será notificado para, no prazo de 02 (dois) dias úteis, comprovar a sua situação de regularidade mediante a apresentação das certidões respectivas com prazos de validade em plena vigência, sob pena de a contratação não se realizar.</w:t>
      </w:r>
    </w:p>
    <w:p w14:paraId="19441DF8"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14.2.3.3. Com a finalidade de verificar se o licitante mantém as condições de participação no certame, serão novamente consultados, previamente à celebração da contratação, os cadastros especificados no item 7.1 deste Edital.</w:t>
      </w:r>
    </w:p>
    <w:p w14:paraId="653E6DD6"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14.2.3.4. Constitui(em), igualmente, condição(ões) para a celebração da contratação:</w:t>
      </w:r>
    </w:p>
    <w:p w14:paraId="2708942B"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14.2.3.4.1. a apresentação do(s) documento(s) que deva(m) ser exibido(s) pelo adjudicatário anteriormente ou por ocasião da celebração da contratação, caso exigida em disposição(ões) ou declaração(ões) específica(s) que esteja(m) prevista(s) neste instrumento ou na documentação que o integra como Anexo;</w:t>
      </w:r>
    </w:p>
    <w:p w14:paraId="0F28FEE7"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14.2.3.4.2. a indicação de gestor encarregado de representar o adjudicatário com exclusividade perante o Contratante, caso se trate de sociedade cooperativa (se admitida a participação de cooperativa no item 3.10);</w:t>
      </w:r>
    </w:p>
    <w:p w14:paraId="31BC64B0"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14.2.3.5. O adjudicatário terá o prazo de 2 (dois) dias, contados a partir da data de sua convocação, para assinar o Termo de Contrato, sob pena de decadência do direito, sem prejuízo das sanções previstas na Lei nº 14.133, de 2021.</w:t>
      </w:r>
    </w:p>
    <w:p w14:paraId="236F7C18"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14.2.3.5.1. O contrato será assinado com a utilização de meio eletrônico, nos termos da legislação aplicável.</w:t>
      </w:r>
    </w:p>
    <w:p w14:paraId="06F87B7D"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14.2.3.5.2. O prazo para assinatura previsto na subdivisão anterior poderá ser prorrogado por igual período, por solicitação justificada do interessado e aceita pela Administração.</w:t>
      </w:r>
    </w:p>
    <w:p w14:paraId="05A62AED"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14.2.3.5.3. Será considerado celebrado o contrato, em caso de assinaturas por meio eletrônico em datas diferentes, na data da última assinatura eletrônica das partes do termo contratual.</w:t>
      </w:r>
    </w:p>
    <w:p w14:paraId="52C988A2"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14.2.4. Constitui, ainda, condição para a celebração da contratação, bem como para a realização dos pagamentos dela decorrentes, a inexistência de registros em nome do adjudicatário no “Cadastro Informativo dos Créditos não Quitados de Órgãos e Entidades Estaduais – CADIN ESTADUAL”. Esta condição será considerada cumprida se o devedor comprovar que os respectivos registros se encontram suspensos, nos termos do art. 8º, §§ 1º e 2º, da Lei estadual nº 12.799, de 2008.</w:t>
      </w:r>
    </w:p>
    <w:p w14:paraId="188B9415"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14.2.5. Na hipótese de o vencedor da licitação não comprovar manter as condições de habilitação e preencher as condições de contratação consignadas neste Edital, ou não assinar o contrato, ou recusar a contratação, a Administração, sem prejuízo da apuração do cabimento de aplicação de sanções e das demais cominações legais cabíveis a esse licitante, poderá convocar os licitantes remanescentes, respeitada a ordem de classificação, para a celebração do contrato em conformidade com o procedimento e as condições estabelecidas no art. 90 da Lei nº 14.133, de 2021.</w:t>
      </w:r>
    </w:p>
    <w:p w14:paraId="3DBCAC51"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14.2.6. Será facultada à Administração a convocação dos demais licitantes classificados para a contratação de remanescente em consequência de rescisão de contrato celebrado com fundamento nesta licitação, observados os critérios estabelecidos no § 7º do art. 90 da Lei nº 14.133, de 2021.</w:t>
      </w:r>
    </w:p>
    <w:p w14:paraId="0A2B6C3B"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14.3. Será divulgada ata da sessão pública no sistema eletrônico.</w:t>
      </w:r>
    </w:p>
    <w:p w14:paraId="3EE3CDE1"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14.4.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445DFE4A"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14.5. Todas as referências de tempo no Edital, no aviso e durante a sessão pública observarão o horário de Brasília – DF.</w:t>
      </w:r>
    </w:p>
    <w:p w14:paraId="64F136A5"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lastRenderedPageBreak/>
        <w:t>14.6. A homologação do resultado desta licitação não implicará direito à contratação.</w:t>
      </w:r>
    </w:p>
    <w:p w14:paraId="14CA4903"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14.7. As normas disciplinadoras da licitação serão interpretadas em favor da ampliação da disputa entre os interessados, desde que não comprometam o interesse público, o princípio da isonomia, a finalidade e a segurança da contratação.</w:t>
      </w:r>
    </w:p>
    <w:p w14:paraId="2F5FAF3D"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14.8. Os casos omissos serão solucionados pelo pregoeiro.</w:t>
      </w:r>
    </w:p>
    <w:p w14:paraId="04D28504"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14.9. Os licitantes assumem todos os custos de preparação e apresentação de suas propostas e a Administração não será, em nenhum caso, responsável por esses custos, independentemente da condução ou do resultado do processo licitatório.</w:t>
      </w:r>
    </w:p>
    <w:p w14:paraId="1B45935E"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14.10. Na contagem dos prazos estabelecidos neste Edital e seus Anexos, excluir-se-á o dia do início e incluir-se-á o do vencimento. Só se iniciam e vencem os prazos em dias de expediente na Administração.</w:t>
      </w:r>
    </w:p>
    <w:p w14:paraId="5733375E"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14.11. No julgamento das propostas e da habilitação, o pregoeiro poderá sanar erros ou falhas que não alterem a substância das propostas, dos documentos e sua validade jurídica, mediante decisão fundamentada, registrada em ata e acessível a todos, atribuindo-lhes validade e eficácia para fins de habilitação e classificação.</w:t>
      </w:r>
    </w:p>
    <w:p w14:paraId="62DFF028"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14.11.1. As falhas passíveis de saneamento na documentação apresentada pelo licitante são aquelas cujo conteúdo retrate situação fática ou jurídica já existente na data da abertura da sessão pública deste Pregão.</w:t>
      </w:r>
    </w:p>
    <w:p w14:paraId="440D14A9"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14.11.2. O desatendimento de exigências formais não essenciais não importará o afastamento do licitante, desde que seja possível o aproveitamento do ato, observados os princípios da isonomia e do interesse público, nos termos do inciso III do art. 12 da Lei nº 14.133, de 2021.</w:t>
      </w:r>
    </w:p>
    <w:p w14:paraId="44DE60F9"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14.12. Caso seja vencedor da licitação, o licitante a ser contratado estará sujeito à assinatura de Termo de Ciência e de Notificação, quando prevista a sua apresentação em ato normativo editado pelo Tribunal de Contas do Estado de São Paulo, conforme a disciplina aplicável.</w:t>
      </w:r>
    </w:p>
    <w:p w14:paraId="223B1889"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14.13. O Edital e seus anexos estão disponíveis, na íntegra, no Portal Nacional de Contratações Públicas (PNCP).</w:t>
      </w:r>
    </w:p>
    <w:p w14:paraId="5028FEB5"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14.14. Para dirimir quaisquer questões decorrentes da licitação, não resolvidas na esfera administrativa, será competente o foro da Comarca da Capital do Estado de São Paulo.</w:t>
      </w:r>
    </w:p>
    <w:p w14:paraId="54C3D773" w14:textId="4FC055C5" w:rsidR="003D577F" w:rsidRPr="00592295"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14.15. Integram este Edital, para todos os fins e efeitos, os seguintes Anexos:</w:t>
      </w:r>
    </w:p>
    <w:p w14:paraId="782D3A81" w14:textId="77777777" w:rsidR="003D577F" w:rsidRPr="00592295" w:rsidRDefault="003D577F" w:rsidP="00F528B0">
      <w:pPr>
        <w:pStyle w:val="PargrafodaLista"/>
        <w:rPr>
          <w:lang w:eastAsia="pt-BR"/>
        </w:rPr>
      </w:pPr>
      <w:r w:rsidRPr="00592295">
        <w:rPr>
          <w:i/>
          <w:iCs/>
          <w:lang w:eastAsia="pt-BR"/>
        </w:rPr>
        <w:t>14.15</w:t>
      </w:r>
      <w:r w:rsidRPr="00592295">
        <w:rPr>
          <w:lang w:eastAsia="pt-BR"/>
        </w:rPr>
        <w:t>.1 ANEXO I - Termo de Referência;</w:t>
      </w:r>
    </w:p>
    <w:p w14:paraId="7A2A5DFF" w14:textId="77777777" w:rsidR="003D577F" w:rsidRPr="00592295" w:rsidRDefault="003D577F" w:rsidP="00F528B0">
      <w:pPr>
        <w:pStyle w:val="PargrafodaLista"/>
        <w:rPr>
          <w:lang w:eastAsia="pt-BR"/>
        </w:rPr>
      </w:pPr>
      <w:r w:rsidRPr="00592295">
        <w:rPr>
          <w:i/>
          <w:iCs/>
          <w:lang w:eastAsia="pt-BR"/>
        </w:rPr>
        <w:t>14.15</w:t>
      </w:r>
      <w:r w:rsidRPr="00592295">
        <w:rPr>
          <w:lang w:eastAsia="pt-BR"/>
        </w:rPr>
        <w:t>.1.1. APÊNDICE.1 – Estudo Técnico Preliminar;</w:t>
      </w:r>
    </w:p>
    <w:p w14:paraId="4664F8A5" w14:textId="77777777" w:rsidR="003D577F" w:rsidRPr="00592295" w:rsidRDefault="003D577F" w:rsidP="00F528B0">
      <w:pPr>
        <w:pStyle w:val="PargrafodaLista"/>
        <w:rPr>
          <w:lang w:eastAsia="pt-BR"/>
        </w:rPr>
      </w:pPr>
      <w:r w:rsidRPr="00592295">
        <w:rPr>
          <w:i/>
          <w:iCs/>
          <w:lang w:eastAsia="pt-BR"/>
        </w:rPr>
        <w:t>14.15</w:t>
      </w:r>
      <w:r w:rsidRPr="00592295">
        <w:rPr>
          <w:lang w:eastAsia="pt-BR"/>
        </w:rPr>
        <w:t xml:space="preserve">.1.2. APÊNDICE.2 </w:t>
      </w:r>
      <w:r w:rsidRPr="00592295">
        <w:rPr>
          <w:lang w:eastAsia="pt-BR"/>
        </w:rPr>
        <w:softHyphen/>
      </w:r>
      <w:r w:rsidRPr="00592295">
        <w:rPr>
          <w:lang w:eastAsia="pt-BR"/>
        </w:rPr>
        <w:softHyphen/>
        <w:t xml:space="preserve"> Protocolo de Avaliação Técnica de Amostra;</w:t>
      </w:r>
    </w:p>
    <w:p w14:paraId="2AA3B945" w14:textId="77777777" w:rsidR="003D577F" w:rsidRPr="00592295" w:rsidRDefault="003D577F" w:rsidP="00F528B0">
      <w:pPr>
        <w:pStyle w:val="PargrafodaLista"/>
        <w:rPr>
          <w:lang w:eastAsia="pt-BR"/>
        </w:rPr>
      </w:pPr>
      <w:r w:rsidRPr="00592295">
        <w:rPr>
          <w:lang w:eastAsia="pt-BR"/>
        </w:rPr>
        <w:t>14.15.1.2. APÊNDICE.2.1 – Requisitos a serem avaliados nas amostras;</w:t>
      </w:r>
    </w:p>
    <w:p w14:paraId="6607520C" w14:textId="77777777" w:rsidR="003D577F" w:rsidRPr="00592295" w:rsidRDefault="003D577F" w:rsidP="00F528B0">
      <w:pPr>
        <w:pStyle w:val="PargrafodaLista"/>
        <w:rPr>
          <w:lang w:eastAsia="pt-BR"/>
        </w:rPr>
      </w:pPr>
      <w:r w:rsidRPr="00592295">
        <w:rPr>
          <w:i/>
          <w:iCs/>
          <w:lang w:eastAsia="pt-BR"/>
        </w:rPr>
        <w:t>14.15</w:t>
      </w:r>
      <w:r w:rsidRPr="00592295">
        <w:rPr>
          <w:lang w:eastAsia="pt-BR"/>
        </w:rPr>
        <w:t>.2. ANEXO II – Minuta de Termo de Contrato;</w:t>
      </w:r>
    </w:p>
    <w:p w14:paraId="41E3893A" w14:textId="353A6F53" w:rsidR="003D577F" w:rsidRPr="00592295" w:rsidRDefault="003D577F" w:rsidP="00F528B0">
      <w:pPr>
        <w:pStyle w:val="PargrafodaLista"/>
        <w:rPr>
          <w:lang w:eastAsia="pt-BR"/>
        </w:rPr>
      </w:pPr>
      <w:r w:rsidRPr="00592295">
        <w:rPr>
          <w:i/>
          <w:iCs/>
          <w:lang w:eastAsia="pt-BR"/>
        </w:rPr>
        <w:t>14.15</w:t>
      </w:r>
      <w:r w:rsidRPr="00592295">
        <w:rPr>
          <w:lang w:eastAsia="pt-BR"/>
        </w:rPr>
        <w:t xml:space="preserve">.3. ANEXO III – </w:t>
      </w:r>
      <w:r w:rsidR="008925A2" w:rsidRPr="008925A2">
        <w:rPr>
          <w:lang w:eastAsia="pt-BR"/>
        </w:rPr>
        <w:t>Cópia da Resolução SS - 65, de 01/04/2024;</w:t>
      </w:r>
    </w:p>
    <w:p w14:paraId="51143B01" w14:textId="77777777" w:rsidR="003D577F" w:rsidRPr="00592295" w:rsidRDefault="003D577F" w:rsidP="00F528B0">
      <w:pPr>
        <w:pStyle w:val="PargrafodaLista"/>
        <w:rPr>
          <w:lang w:eastAsia="pt-BR"/>
        </w:rPr>
      </w:pPr>
      <w:r w:rsidRPr="00592295">
        <w:rPr>
          <w:i/>
          <w:iCs/>
          <w:lang w:eastAsia="pt-BR"/>
        </w:rPr>
        <w:t>14.15</w:t>
      </w:r>
      <w:r w:rsidRPr="00592295">
        <w:rPr>
          <w:lang w:eastAsia="pt-BR"/>
        </w:rPr>
        <w:t>.4. ANEXO IV – Modelos (s) referente (s) a planilha de proposta;</w:t>
      </w:r>
    </w:p>
    <w:p w14:paraId="37DA9DAD" w14:textId="3784D481" w:rsidR="001902E0" w:rsidRDefault="003D577F" w:rsidP="008925A2">
      <w:pPr>
        <w:pStyle w:val="PargrafodaLista"/>
        <w:rPr>
          <w:rFonts w:ascii="Arial" w:eastAsia="Times New Roman" w:hAnsi="Arial" w:cs="Arial"/>
          <w:b/>
          <w:bCs/>
          <w:color w:val="000000"/>
          <w:sz w:val="18"/>
          <w:szCs w:val="18"/>
          <w:lang w:eastAsia="pt-BR"/>
        </w:rPr>
      </w:pPr>
      <w:r w:rsidRPr="00592295">
        <w:rPr>
          <w:i/>
          <w:iCs/>
          <w:lang w:eastAsia="pt-BR"/>
        </w:rPr>
        <w:t>14.15</w:t>
      </w:r>
      <w:r w:rsidRPr="00592295">
        <w:rPr>
          <w:lang w:eastAsia="pt-BR"/>
        </w:rPr>
        <w:t>.5. ANEXO V – Minuta de Ata de Registro de Preços.</w:t>
      </w:r>
    </w:p>
    <w:p w14:paraId="58DFD993" w14:textId="77777777" w:rsidR="00F64FA9" w:rsidRDefault="00F64FA9" w:rsidP="000B359E">
      <w:pPr>
        <w:spacing w:after="0" w:line="240" w:lineRule="auto"/>
        <w:ind w:left="60" w:right="858"/>
        <w:jc w:val="center"/>
        <w:rPr>
          <w:rFonts w:ascii="Arial" w:eastAsia="Times New Roman" w:hAnsi="Arial" w:cs="Arial"/>
          <w:b/>
          <w:bCs/>
          <w:color w:val="000000"/>
          <w:sz w:val="18"/>
          <w:szCs w:val="18"/>
          <w:lang w:eastAsia="pt-BR"/>
        </w:rPr>
      </w:pPr>
    </w:p>
    <w:p w14:paraId="11556B3D" w14:textId="77777777" w:rsidR="008925A2" w:rsidRDefault="008925A2">
      <w:pP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br w:type="page"/>
      </w:r>
    </w:p>
    <w:p w14:paraId="1A8227A2" w14:textId="7DD93865" w:rsidR="003D577F" w:rsidRPr="00940E2C" w:rsidRDefault="003D577F" w:rsidP="000B359E">
      <w:pPr>
        <w:spacing w:after="0" w:line="240" w:lineRule="auto"/>
        <w:ind w:left="60" w:right="858"/>
        <w:jc w:val="center"/>
        <w:rPr>
          <w:rFonts w:ascii="Arial" w:eastAsia="Times New Roman" w:hAnsi="Arial" w:cs="Arial"/>
          <w:b/>
          <w:bCs/>
          <w:color w:val="000000"/>
          <w:sz w:val="18"/>
          <w:szCs w:val="18"/>
          <w:lang w:eastAsia="pt-BR"/>
        </w:rPr>
      </w:pPr>
      <w:r w:rsidRPr="00940E2C">
        <w:rPr>
          <w:rFonts w:ascii="Arial" w:eastAsia="Times New Roman" w:hAnsi="Arial" w:cs="Arial"/>
          <w:b/>
          <w:bCs/>
          <w:color w:val="000000"/>
          <w:sz w:val="18"/>
          <w:szCs w:val="18"/>
          <w:lang w:eastAsia="pt-BR"/>
        </w:rPr>
        <w:lastRenderedPageBreak/>
        <w:t>ANEXO I</w:t>
      </w:r>
    </w:p>
    <w:p w14:paraId="0E3724CE" w14:textId="77777777" w:rsidR="00517E90" w:rsidRPr="00940E2C" w:rsidRDefault="00517E90" w:rsidP="00517E90">
      <w:pPr>
        <w:spacing w:after="0" w:line="240" w:lineRule="auto"/>
        <w:ind w:left="60" w:right="60"/>
        <w:jc w:val="center"/>
        <w:rPr>
          <w:rFonts w:ascii="Arial" w:eastAsia="Times New Roman" w:hAnsi="Arial" w:cs="Arial"/>
          <w:b/>
          <w:color w:val="000000"/>
          <w:sz w:val="18"/>
          <w:szCs w:val="18"/>
          <w:lang w:eastAsia="pt-BR"/>
        </w:rPr>
      </w:pPr>
    </w:p>
    <w:p w14:paraId="748BBA17" w14:textId="5C5E469F" w:rsidR="00B37FD6" w:rsidRDefault="00DA03FC" w:rsidP="0046524F">
      <w:pPr>
        <w:spacing w:after="165" w:line="240" w:lineRule="auto"/>
        <w:jc w:val="center"/>
        <w:rPr>
          <w:rFonts w:ascii="Times New Roman"/>
          <w:sz w:val="21"/>
        </w:rPr>
      </w:pPr>
      <w:r w:rsidRPr="00940E2C">
        <w:rPr>
          <w:rFonts w:ascii="Arial" w:hAnsi="Arial" w:cs="Arial"/>
          <w:b/>
          <w:sz w:val="18"/>
          <w:szCs w:val="18"/>
        </w:rPr>
        <w:t>Termo</w:t>
      </w:r>
      <w:r w:rsidRPr="00940E2C">
        <w:rPr>
          <w:rFonts w:ascii="Arial" w:hAnsi="Arial" w:cs="Arial"/>
          <w:b/>
          <w:spacing w:val="-5"/>
          <w:sz w:val="18"/>
          <w:szCs w:val="18"/>
        </w:rPr>
        <w:t xml:space="preserve"> </w:t>
      </w:r>
      <w:r w:rsidRPr="00940E2C">
        <w:rPr>
          <w:rFonts w:ascii="Arial" w:hAnsi="Arial" w:cs="Arial"/>
          <w:b/>
          <w:sz w:val="18"/>
          <w:szCs w:val="18"/>
        </w:rPr>
        <w:t>de</w:t>
      </w:r>
      <w:r w:rsidRPr="00940E2C">
        <w:rPr>
          <w:rFonts w:ascii="Arial" w:hAnsi="Arial" w:cs="Arial"/>
          <w:b/>
          <w:spacing w:val="-4"/>
          <w:sz w:val="18"/>
          <w:szCs w:val="18"/>
        </w:rPr>
        <w:t xml:space="preserve"> </w:t>
      </w:r>
      <w:r w:rsidRPr="00940E2C">
        <w:rPr>
          <w:rFonts w:ascii="Arial" w:hAnsi="Arial" w:cs="Arial"/>
          <w:b/>
          <w:sz w:val="18"/>
          <w:szCs w:val="18"/>
        </w:rPr>
        <w:t>Referência</w:t>
      </w:r>
      <w:r w:rsidR="004107A9">
        <w:rPr>
          <w:rFonts w:ascii="Arial" w:hAnsi="Arial" w:cs="Arial"/>
          <w:b/>
          <w:sz w:val="18"/>
          <w:szCs w:val="18"/>
        </w:rPr>
        <w:t xml:space="preserve"> nº</w:t>
      </w:r>
      <w:r w:rsidRPr="00940E2C">
        <w:rPr>
          <w:rFonts w:ascii="Arial" w:hAnsi="Arial" w:cs="Arial"/>
          <w:b/>
          <w:spacing w:val="-4"/>
          <w:sz w:val="18"/>
          <w:szCs w:val="18"/>
        </w:rPr>
        <w:t xml:space="preserve"> </w:t>
      </w:r>
      <w:r w:rsidR="00F20451" w:rsidRPr="00F20451">
        <w:rPr>
          <w:rFonts w:ascii="Arial" w:hAnsi="Arial" w:cs="Arial"/>
          <w:b/>
          <w:spacing w:val="-4"/>
          <w:sz w:val="18"/>
          <w:szCs w:val="18"/>
        </w:rPr>
        <w:t>145/2026</w:t>
      </w:r>
    </w:p>
    <w:p w14:paraId="2F6EFA98" w14:textId="64742DB7" w:rsidR="00B37FD6" w:rsidRDefault="00B37FD6" w:rsidP="00E116DD">
      <w:pPr>
        <w:pStyle w:val="Corpodetexto"/>
        <w:rPr>
          <w:rFonts w:ascii="Times New Roman"/>
          <w:sz w:val="21"/>
          <w:lang w:val="pt-BR"/>
        </w:rPr>
      </w:pPr>
    </w:p>
    <w:p w14:paraId="2482FEFB" w14:textId="77777777" w:rsidR="00CD5F87" w:rsidRPr="00CD5F87" w:rsidRDefault="00CD5F87" w:rsidP="00CD5F87">
      <w:pPr>
        <w:spacing w:after="0" w:line="240" w:lineRule="auto"/>
        <w:rPr>
          <w:rFonts w:ascii="Times New Roman" w:eastAsia="Times New Roman" w:hAnsi="Times New Roman" w:cs="Times New Roman"/>
          <w:color w:val="000000"/>
          <w:sz w:val="27"/>
          <w:szCs w:val="27"/>
          <w:lang w:eastAsia="pt-BR"/>
        </w:rPr>
      </w:pPr>
      <w:r w:rsidRPr="00CD5F87">
        <w:rPr>
          <w:rFonts w:ascii="Calibri Light" w:eastAsia="Times New Roman" w:hAnsi="Calibri Light" w:cs="Calibri Light"/>
          <w:b/>
          <w:bCs/>
          <w:color w:val="000000"/>
          <w:sz w:val="18"/>
          <w:szCs w:val="18"/>
          <w:lang w:eastAsia="pt-BR"/>
        </w:rPr>
        <w:t>1. CONDIÇÕES GERAIS DA CONTRATAÇÃO</w:t>
      </w:r>
    </w:p>
    <w:p w14:paraId="507C9C21" w14:textId="3975D1EE" w:rsidR="00CD5F87" w:rsidRPr="00CD5F87" w:rsidRDefault="00CD5F87" w:rsidP="00CD5F87">
      <w:pPr>
        <w:spacing w:after="22" w:line="267" w:lineRule="auto"/>
        <w:ind w:left="10" w:right="19" w:hanging="10"/>
        <w:jc w:val="both"/>
        <w:rPr>
          <w:rFonts w:ascii="Times New Roman" w:eastAsia="Times New Roman" w:hAnsi="Times New Roman" w:cs="Times New Roman"/>
          <w:color w:val="000000"/>
          <w:sz w:val="27"/>
          <w:szCs w:val="27"/>
          <w:lang w:eastAsia="pt-BR"/>
        </w:rPr>
      </w:pPr>
      <w:r w:rsidRPr="00CD5F87">
        <w:rPr>
          <w:rFonts w:ascii="Calibri Light" w:eastAsia="Times New Roman" w:hAnsi="Calibri Light" w:cs="Calibri Light"/>
          <w:color w:val="000000"/>
          <w:sz w:val="18"/>
          <w:szCs w:val="18"/>
          <w:lang w:eastAsia="pt-BR"/>
        </w:rPr>
        <w:t>1.1 Constituição de Sistema de Registro de Preços – SRP para aquisição de </w:t>
      </w:r>
      <w:r w:rsidRPr="00CD5F87">
        <w:rPr>
          <w:rFonts w:ascii="Calibri Light" w:eastAsia="Times New Roman" w:hAnsi="Calibri Light" w:cs="Calibri Light"/>
          <w:b/>
          <w:bCs/>
          <w:color w:val="000000"/>
          <w:sz w:val="18"/>
          <w:szCs w:val="18"/>
          <w:lang w:eastAsia="pt-BR"/>
        </w:rPr>
        <w:t>AVENTAL DE PROTECAO PARA</w:t>
      </w:r>
      <w:r>
        <w:rPr>
          <w:rFonts w:ascii="Calibri Light" w:eastAsia="Times New Roman" w:hAnsi="Calibri Light" w:cs="Calibri Light"/>
          <w:b/>
          <w:bCs/>
          <w:color w:val="000000"/>
          <w:sz w:val="18"/>
          <w:szCs w:val="18"/>
          <w:lang w:eastAsia="pt-BR"/>
        </w:rPr>
        <w:t xml:space="preserve"> </w:t>
      </w:r>
      <w:r w:rsidRPr="00CD5F87">
        <w:rPr>
          <w:rFonts w:ascii="Calibri Light" w:eastAsia="Times New Roman" w:hAnsi="Calibri Light" w:cs="Calibri Light"/>
          <w:b/>
          <w:bCs/>
          <w:color w:val="000000"/>
          <w:sz w:val="18"/>
          <w:szCs w:val="18"/>
          <w:lang w:eastAsia="pt-BR"/>
        </w:rPr>
        <w:t>ASSISTENCIA AO PACIENTE</w:t>
      </w:r>
      <w:r w:rsidRPr="00CD5F87">
        <w:rPr>
          <w:rFonts w:ascii="Arial" w:eastAsia="Times New Roman" w:hAnsi="Arial" w:cs="Arial"/>
          <w:b/>
          <w:bCs/>
          <w:color w:val="000000"/>
          <w:sz w:val="18"/>
          <w:szCs w:val="18"/>
          <w:lang w:eastAsia="pt-BR"/>
        </w:rPr>
        <w:t>,</w:t>
      </w:r>
      <w:r>
        <w:rPr>
          <w:rFonts w:ascii="Arial" w:eastAsia="Times New Roman" w:hAnsi="Arial" w:cs="Arial"/>
          <w:b/>
          <w:bCs/>
          <w:color w:val="000000"/>
          <w:sz w:val="18"/>
          <w:szCs w:val="18"/>
          <w:lang w:eastAsia="pt-BR"/>
        </w:rPr>
        <w:t xml:space="preserve"> </w:t>
      </w:r>
      <w:r w:rsidRPr="00CD5F87">
        <w:rPr>
          <w:rFonts w:ascii="Calibri Light" w:eastAsia="Times New Roman" w:hAnsi="Calibri Light" w:cs="Calibri Light"/>
          <w:color w:val="000000"/>
          <w:sz w:val="18"/>
          <w:szCs w:val="18"/>
          <w:lang w:eastAsia="pt-BR"/>
        </w:rPr>
        <w:t>nos termos da tabela abaixo, conforme condições e exigências estabelecidas neste instrumento.</w:t>
      </w:r>
    </w:p>
    <w:p w14:paraId="577E79A0" w14:textId="77777777" w:rsidR="00CD5F87" w:rsidRPr="00CD5F87" w:rsidRDefault="00CD5F87" w:rsidP="00CD5F87">
      <w:pPr>
        <w:spacing w:after="0" w:line="240" w:lineRule="auto"/>
        <w:ind w:left="15" w:hanging="10"/>
        <w:jc w:val="both"/>
        <w:rPr>
          <w:rFonts w:ascii="Times New Roman" w:eastAsia="Times New Roman" w:hAnsi="Times New Roman" w:cs="Times New Roman"/>
          <w:color w:val="000000"/>
          <w:sz w:val="27"/>
          <w:szCs w:val="27"/>
          <w:lang w:eastAsia="pt-BR"/>
        </w:rPr>
      </w:pPr>
      <w:r w:rsidRPr="00CD5F87">
        <w:rPr>
          <w:rFonts w:ascii="Times New Roman" w:eastAsia="Times New Roman" w:hAnsi="Times New Roman" w:cs="Times New Roman"/>
          <w:color w:val="000000"/>
          <w:sz w:val="27"/>
          <w:szCs w:val="27"/>
          <w:lang w:eastAsia="pt-BR"/>
        </w:rPr>
        <w:t> </w:t>
      </w:r>
    </w:p>
    <w:p w14:paraId="7FCA42F3" w14:textId="7803630F" w:rsidR="00F20451" w:rsidRDefault="00F20451" w:rsidP="00CD5F87">
      <w:pPr>
        <w:spacing w:after="184" w:line="267" w:lineRule="auto"/>
        <w:ind w:left="10" w:right="19" w:hanging="10"/>
        <w:jc w:val="both"/>
      </w:pPr>
      <w:r>
        <w:rPr>
          <w:rFonts w:ascii="Calibri" w:eastAsia="Calibri" w:hAnsi="Calibri" w:cs="Calibri"/>
          <w:sz w:val="20"/>
        </w:rPr>
        <w:t xml:space="preserve">A licitação será realizada por </w:t>
      </w:r>
      <w:r>
        <w:rPr>
          <w:rFonts w:ascii="Calibri" w:eastAsia="Calibri" w:hAnsi="Calibri" w:cs="Calibri"/>
          <w:b/>
          <w:sz w:val="20"/>
        </w:rPr>
        <w:t>Item.</w:t>
      </w:r>
      <w:r>
        <w:rPr>
          <w:rFonts w:ascii="Calibri" w:eastAsia="Calibri" w:hAnsi="Calibri" w:cs="Calibri"/>
          <w:sz w:val="18"/>
        </w:rPr>
        <w:t xml:space="preserve"> </w:t>
      </w:r>
    </w:p>
    <w:p w14:paraId="0D775739" w14:textId="77777777" w:rsidR="00F20451" w:rsidRDefault="00F20451" w:rsidP="00CD5F87">
      <w:pPr>
        <w:spacing w:after="211"/>
        <w:ind w:left="-567" w:right="-1"/>
      </w:pPr>
      <w:r>
        <w:rPr>
          <w:noProof/>
        </w:rPr>
        <mc:AlternateContent>
          <mc:Choice Requires="wpg">
            <w:drawing>
              <wp:inline distT="0" distB="0" distL="0" distR="0" wp14:anchorId="2CC5A806" wp14:editId="35CBAE05">
                <wp:extent cx="7057136" cy="2913126"/>
                <wp:effectExtent l="0" t="0" r="0" b="0"/>
                <wp:docPr id="13928" name="Group 13928"/>
                <wp:cNvGraphicFramePr/>
                <a:graphic xmlns:a="http://schemas.openxmlformats.org/drawingml/2006/main">
                  <a:graphicData uri="http://schemas.microsoft.com/office/word/2010/wordprocessingGroup">
                    <wpg:wgp>
                      <wpg:cNvGrpSpPr/>
                      <wpg:grpSpPr>
                        <a:xfrm>
                          <a:off x="0" y="0"/>
                          <a:ext cx="7057136" cy="2913126"/>
                          <a:chOff x="0" y="0"/>
                          <a:chExt cx="7057136" cy="2913126"/>
                        </a:xfrm>
                      </wpg:grpSpPr>
                      <wps:wsp>
                        <wps:cNvPr id="11" name="Shape 11"/>
                        <wps:cNvSpPr/>
                        <wps:spPr>
                          <a:xfrm>
                            <a:off x="0" y="0"/>
                            <a:ext cx="221488" cy="9525"/>
                          </a:xfrm>
                          <a:custGeom>
                            <a:avLst/>
                            <a:gdLst/>
                            <a:ahLst/>
                            <a:cxnLst/>
                            <a:rect l="0" t="0" r="0" b="0"/>
                            <a:pathLst>
                              <a:path w="221488" h="9525">
                                <a:moveTo>
                                  <a:pt x="0" y="0"/>
                                </a:moveTo>
                                <a:lnTo>
                                  <a:pt x="221488" y="0"/>
                                </a:lnTo>
                                <a:lnTo>
                                  <a:pt x="211963" y="9525"/>
                                </a:lnTo>
                                <a:lnTo>
                                  <a:pt x="9525" y="9525"/>
                                </a:lnTo>
                                <a:lnTo>
                                  <a:pt x="0" y="0"/>
                                </a:lnTo>
                                <a:close/>
                              </a:path>
                            </a:pathLst>
                          </a:custGeom>
                          <a:ln w="0" cap="sq">
                            <a:miter lim="127000"/>
                          </a:ln>
                        </wps:spPr>
                        <wps:style>
                          <a:lnRef idx="0">
                            <a:srgbClr val="000000">
                              <a:alpha val="0"/>
                            </a:srgbClr>
                          </a:lnRef>
                          <a:fillRef idx="1">
                            <a:srgbClr val="000000"/>
                          </a:fillRef>
                          <a:effectRef idx="0">
                            <a:scrgbClr r="0" g="0" b="0"/>
                          </a:effectRef>
                          <a:fontRef idx="none"/>
                        </wps:style>
                        <wps:bodyPr/>
                      </wps:wsp>
                      <wps:wsp>
                        <wps:cNvPr id="12" name="Shape 12"/>
                        <wps:cNvSpPr/>
                        <wps:spPr>
                          <a:xfrm>
                            <a:off x="211963" y="0"/>
                            <a:ext cx="9525" cy="653288"/>
                          </a:xfrm>
                          <a:custGeom>
                            <a:avLst/>
                            <a:gdLst/>
                            <a:ahLst/>
                            <a:cxnLst/>
                            <a:rect l="0" t="0" r="0" b="0"/>
                            <a:pathLst>
                              <a:path w="9525" h="653288">
                                <a:moveTo>
                                  <a:pt x="9525" y="0"/>
                                </a:moveTo>
                                <a:lnTo>
                                  <a:pt x="9525" y="653288"/>
                                </a:lnTo>
                                <a:lnTo>
                                  <a:pt x="0" y="643763"/>
                                </a:lnTo>
                                <a:lnTo>
                                  <a:pt x="0" y="9525"/>
                                </a:lnTo>
                                <a:lnTo>
                                  <a:pt x="9525" y="0"/>
                                </a:lnTo>
                                <a:close/>
                              </a:path>
                            </a:pathLst>
                          </a:custGeom>
                          <a:ln w="0" cap="sq">
                            <a:miter lim="127000"/>
                          </a:ln>
                        </wps:spPr>
                        <wps:style>
                          <a:lnRef idx="0">
                            <a:srgbClr val="000000">
                              <a:alpha val="0"/>
                            </a:srgbClr>
                          </a:lnRef>
                          <a:fillRef idx="1">
                            <a:srgbClr val="000000"/>
                          </a:fillRef>
                          <a:effectRef idx="0">
                            <a:scrgbClr r="0" g="0" b="0"/>
                          </a:effectRef>
                          <a:fontRef idx="none"/>
                        </wps:style>
                        <wps:bodyPr/>
                      </wps:wsp>
                      <wps:wsp>
                        <wps:cNvPr id="13" name="Shape 13"/>
                        <wps:cNvSpPr/>
                        <wps:spPr>
                          <a:xfrm>
                            <a:off x="0" y="643763"/>
                            <a:ext cx="221488" cy="9525"/>
                          </a:xfrm>
                          <a:custGeom>
                            <a:avLst/>
                            <a:gdLst/>
                            <a:ahLst/>
                            <a:cxnLst/>
                            <a:rect l="0" t="0" r="0" b="0"/>
                            <a:pathLst>
                              <a:path w="221488" h="9525">
                                <a:moveTo>
                                  <a:pt x="9525" y="0"/>
                                </a:moveTo>
                                <a:lnTo>
                                  <a:pt x="211963" y="0"/>
                                </a:lnTo>
                                <a:lnTo>
                                  <a:pt x="221488" y="9525"/>
                                </a:lnTo>
                                <a:lnTo>
                                  <a:pt x="0" y="9525"/>
                                </a:lnTo>
                                <a:lnTo>
                                  <a:pt x="9525" y="0"/>
                                </a:lnTo>
                                <a:close/>
                              </a:path>
                            </a:pathLst>
                          </a:custGeom>
                          <a:ln w="0" cap="sq">
                            <a:miter lim="127000"/>
                          </a:ln>
                        </wps:spPr>
                        <wps:style>
                          <a:lnRef idx="0">
                            <a:srgbClr val="000000">
                              <a:alpha val="0"/>
                            </a:srgbClr>
                          </a:lnRef>
                          <a:fillRef idx="1">
                            <a:srgbClr val="000000"/>
                          </a:fillRef>
                          <a:effectRef idx="0">
                            <a:scrgbClr r="0" g="0" b="0"/>
                          </a:effectRef>
                          <a:fontRef idx="none"/>
                        </wps:style>
                        <wps:bodyPr/>
                      </wps:wsp>
                      <wps:wsp>
                        <wps:cNvPr id="14" name="Shape 14"/>
                        <wps:cNvSpPr/>
                        <wps:spPr>
                          <a:xfrm>
                            <a:off x="0" y="0"/>
                            <a:ext cx="9525" cy="653288"/>
                          </a:xfrm>
                          <a:custGeom>
                            <a:avLst/>
                            <a:gdLst/>
                            <a:ahLst/>
                            <a:cxnLst/>
                            <a:rect l="0" t="0" r="0" b="0"/>
                            <a:pathLst>
                              <a:path w="9525" h="653288">
                                <a:moveTo>
                                  <a:pt x="0" y="0"/>
                                </a:moveTo>
                                <a:lnTo>
                                  <a:pt x="9525" y="9525"/>
                                </a:lnTo>
                                <a:lnTo>
                                  <a:pt x="9525" y="643763"/>
                                </a:lnTo>
                                <a:lnTo>
                                  <a:pt x="0" y="653288"/>
                                </a:lnTo>
                                <a:lnTo>
                                  <a:pt x="0" y="0"/>
                                </a:lnTo>
                                <a:close/>
                              </a:path>
                            </a:pathLst>
                          </a:custGeom>
                          <a:ln w="0" cap="sq">
                            <a:miter lim="127000"/>
                          </a:ln>
                        </wps:spPr>
                        <wps:style>
                          <a:lnRef idx="0">
                            <a:srgbClr val="000000">
                              <a:alpha val="0"/>
                            </a:srgbClr>
                          </a:lnRef>
                          <a:fillRef idx="1">
                            <a:srgbClr val="000000"/>
                          </a:fillRef>
                          <a:effectRef idx="0">
                            <a:scrgbClr r="0" g="0" b="0"/>
                          </a:effectRef>
                          <a:fontRef idx="none"/>
                        </wps:style>
                        <wps:bodyPr/>
                      </wps:wsp>
                      <wps:wsp>
                        <wps:cNvPr id="15" name="Shape 15"/>
                        <wps:cNvSpPr/>
                        <wps:spPr>
                          <a:xfrm>
                            <a:off x="211963" y="0"/>
                            <a:ext cx="4532884" cy="9525"/>
                          </a:xfrm>
                          <a:custGeom>
                            <a:avLst/>
                            <a:gdLst/>
                            <a:ahLst/>
                            <a:cxnLst/>
                            <a:rect l="0" t="0" r="0" b="0"/>
                            <a:pathLst>
                              <a:path w="4532884" h="9525">
                                <a:moveTo>
                                  <a:pt x="0" y="0"/>
                                </a:moveTo>
                                <a:lnTo>
                                  <a:pt x="4532884" y="0"/>
                                </a:lnTo>
                                <a:lnTo>
                                  <a:pt x="4523359" y="9525"/>
                                </a:lnTo>
                                <a:lnTo>
                                  <a:pt x="9525" y="9525"/>
                                </a:lnTo>
                                <a:lnTo>
                                  <a:pt x="0" y="0"/>
                                </a:lnTo>
                                <a:close/>
                              </a:path>
                            </a:pathLst>
                          </a:custGeom>
                          <a:ln w="0" cap="sq">
                            <a:miter lim="127000"/>
                          </a:ln>
                        </wps:spPr>
                        <wps:style>
                          <a:lnRef idx="0">
                            <a:srgbClr val="000000">
                              <a:alpha val="0"/>
                            </a:srgbClr>
                          </a:lnRef>
                          <a:fillRef idx="1">
                            <a:srgbClr val="000000"/>
                          </a:fillRef>
                          <a:effectRef idx="0">
                            <a:scrgbClr r="0" g="0" b="0"/>
                          </a:effectRef>
                          <a:fontRef idx="none"/>
                        </wps:style>
                        <wps:bodyPr/>
                      </wps:wsp>
                      <wps:wsp>
                        <wps:cNvPr id="16" name="Shape 16"/>
                        <wps:cNvSpPr/>
                        <wps:spPr>
                          <a:xfrm>
                            <a:off x="4735322" y="0"/>
                            <a:ext cx="9525" cy="653288"/>
                          </a:xfrm>
                          <a:custGeom>
                            <a:avLst/>
                            <a:gdLst/>
                            <a:ahLst/>
                            <a:cxnLst/>
                            <a:rect l="0" t="0" r="0" b="0"/>
                            <a:pathLst>
                              <a:path w="9525" h="653288">
                                <a:moveTo>
                                  <a:pt x="9525" y="0"/>
                                </a:moveTo>
                                <a:lnTo>
                                  <a:pt x="9525" y="653288"/>
                                </a:lnTo>
                                <a:lnTo>
                                  <a:pt x="0" y="643763"/>
                                </a:lnTo>
                                <a:lnTo>
                                  <a:pt x="0" y="9525"/>
                                </a:lnTo>
                                <a:lnTo>
                                  <a:pt x="9525" y="0"/>
                                </a:lnTo>
                                <a:close/>
                              </a:path>
                            </a:pathLst>
                          </a:custGeom>
                          <a:ln w="0" cap="sq">
                            <a:miter lim="127000"/>
                          </a:ln>
                        </wps:spPr>
                        <wps:style>
                          <a:lnRef idx="0">
                            <a:srgbClr val="000000">
                              <a:alpha val="0"/>
                            </a:srgbClr>
                          </a:lnRef>
                          <a:fillRef idx="1">
                            <a:srgbClr val="000000"/>
                          </a:fillRef>
                          <a:effectRef idx="0">
                            <a:scrgbClr r="0" g="0" b="0"/>
                          </a:effectRef>
                          <a:fontRef idx="none"/>
                        </wps:style>
                        <wps:bodyPr/>
                      </wps:wsp>
                      <wps:wsp>
                        <wps:cNvPr id="17" name="Shape 17"/>
                        <wps:cNvSpPr/>
                        <wps:spPr>
                          <a:xfrm>
                            <a:off x="211963" y="643763"/>
                            <a:ext cx="4532884" cy="9525"/>
                          </a:xfrm>
                          <a:custGeom>
                            <a:avLst/>
                            <a:gdLst/>
                            <a:ahLst/>
                            <a:cxnLst/>
                            <a:rect l="0" t="0" r="0" b="0"/>
                            <a:pathLst>
                              <a:path w="4532884" h="9525">
                                <a:moveTo>
                                  <a:pt x="9525" y="0"/>
                                </a:moveTo>
                                <a:lnTo>
                                  <a:pt x="4523359" y="0"/>
                                </a:lnTo>
                                <a:lnTo>
                                  <a:pt x="4532884" y="9525"/>
                                </a:lnTo>
                                <a:lnTo>
                                  <a:pt x="0" y="9525"/>
                                </a:lnTo>
                                <a:lnTo>
                                  <a:pt x="9525" y="0"/>
                                </a:lnTo>
                                <a:close/>
                              </a:path>
                            </a:pathLst>
                          </a:custGeom>
                          <a:ln w="0" cap="sq">
                            <a:miter lim="127000"/>
                          </a:ln>
                        </wps:spPr>
                        <wps:style>
                          <a:lnRef idx="0">
                            <a:srgbClr val="000000">
                              <a:alpha val="0"/>
                            </a:srgbClr>
                          </a:lnRef>
                          <a:fillRef idx="1">
                            <a:srgbClr val="000000"/>
                          </a:fillRef>
                          <a:effectRef idx="0">
                            <a:scrgbClr r="0" g="0" b="0"/>
                          </a:effectRef>
                          <a:fontRef idx="none"/>
                        </wps:style>
                        <wps:bodyPr/>
                      </wps:wsp>
                      <wps:wsp>
                        <wps:cNvPr id="18" name="Shape 18"/>
                        <wps:cNvSpPr/>
                        <wps:spPr>
                          <a:xfrm>
                            <a:off x="211963" y="0"/>
                            <a:ext cx="9525" cy="653288"/>
                          </a:xfrm>
                          <a:custGeom>
                            <a:avLst/>
                            <a:gdLst/>
                            <a:ahLst/>
                            <a:cxnLst/>
                            <a:rect l="0" t="0" r="0" b="0"/>
                            <a:pathLst>
                              <a:path w="9525" h="653288">
                                <a:moveTo>
                                  <a:pt x="0" y="0"/>
                                </a:moveTo>
                                <a:lnTo>
                                  <a:pt x="9525" y="9525"/>
                                </a:lnTo>
                                <a:lnTo>
                                  <a:pt x="9525" y="643763"/>
                                </a:lnTo>
                                <a:lnTo>
                                  <a:pt x="0" y="653288"/>
                                </a:lnTo>
                                <a:lnTo>
                                  <a:pt x="0" y="0"/>
                                </a:lnTo>
                                <a:close/>
                              </a:path>
                            </a:pathLst>
                          </a:custGeom>
                          <a:ln w="0" cap="sq">
                            <a:miter lim="127000"/>
                          </a:ln>
                        </wps:spPr>
                        <wps:style>
                          <a:lnRef idx="0">
                            <a:srgbClr val="000000">
                              <a:alpha val="0"/>
                            </a:srgbClr>
                          </a:lnRef>
                          <a:fillRef idx="1">
                            <a:srgbClr val="000000"/>
                          </a:fillRef>
                          <a:effectRef idx="0">
                            <a:scrgbClr r="0" g="0" b="0"/>
                          </a:effectRef>
                          <a:fontRef idx="none"/>
                        </wps:style>
                        <wps:bodyPr/>
                      </wps:wsp>
                      <wps:wsp>
                        <wps:cNvPr id="19" name="Shape 19"/>
                        <wps:cNvSpPr/>
                        <wps:spPr>
                          <a:xfrm>
                            <a:off x="4735322" y="0"/>
                            <a:ext cx="434340" cy="9525"/>
                          </a:xfrm>
                          <a:custGeom>
                            <a:avLst/>
                            <a:gdLst/>
                            <a:ahLst/>
                            <a:cxnLst/>
                            <a:rect l="0" t="0" r="0" b="0"/>
                            <a:pathLst>
                              <a:path w="434340" h="9525">
                                <a:moveTo>
                                  <a:pt x="0" y="0"/>
                                </a:moveTo>
                                <a:lnTo>
                                  <a:pt x="434340" y="0"/>
                                </a:lnTo>
                                <a:lnTo>
                                  <a:pt x="424815" y="9525"/>
                                </a:lnTo>
                                <a:lnTo>
                                  <a:pt x="9525" y="9525"/>
                                </a:lnTo>
                                <a:lnTo>
                                  <a:pt x="0" y="0"/>
                                </a:lnTo>
                                <a:close/>
                              </a:path>
                            </a:pathLst>
                          </a:custGeom>
                          <a:ln w="0" cap="sq">
                            <a:miter lim="127000"/>
                          </a:ln>
                        </wps:spPr>
                        <wps:style>
                          <a:lnRef idx="0">
                            <a:srgbClr val="000000">
                              <a:alpha val="0"/>
                            </a:srgbClr>
                          </a:lnRef>
                          <a:fillRef idx="1">
                            <a:srgbClr val="000000"/>
                          </a:fillRef>
                          <a:effectRef idx="0">
                            <a:scrgbClr r="0" g="0" b="0"/>
                          </a:effectRef>
                          <a:fontRef idx="none"/>
                        </wps:style>
                        <wps:bodyPr/>
                      </wps:wsp>
                      <wps:wsp>
                        <wps:cNvPr id="20" name="Shape 20"/>
                        <wps:cNvSpPr/>
                        <wps:spPr>
                          <a:xfrm>
                            <a:off x="5160137" y="0"/>
                            <a:ext cx="9525" cy="653288"/>
                          </a:xfrm>
                          <a:custGeom>
                            <a:avLst/>
                            <a:gdLst/>
                            <a:ahLst/>
                            <a:cxnLst/>
                            <a:rect l="0" t="0" r="0" b="0"/>
                            <a:pathLst>
                              <a:path w="9525" h="653288">
                                <a:moveTo>
                                  <a:pt x="9525" y="0"/>
                                </a:moveTo>
                                <a:lnTo>
                                  <a:pt x="9525" y="653288"/>
                                </a:lnTo>
                                <a:lnTo>
                                  <a:pt x="0" y="643763"/>
                                </a:lnTo>
                                <a:lnTo>
                                  <a:pt x="0" y="9525"/>
                                </a:lnTo>
                                <a:lnTo>
                                  <a:pt x="9525" y="0"/>
                                </a:lnTo>
                                <a:close/>
                              </a:path>
                            </a:pathLst>
                          </a:custGeom>
                          <a:ln w="0" cap="sq">
                            <a:miter lim="127000"/>
                          </a:ln>
                        </wps:spPr>
                        <wps:style>
                          <a:lnRef idx="0">
                            <a:srgbClr val="000000">
                              <a:alpha val="0"/>
                            </a:srgbClr>
                          </a:lnRef>
                          <a:fillRef idx="1">
                            <a:srgbClr val="000000"/>
                          </a:fillRef>
                          <a:effectRef idx="0">
                            <a:scrgbClr r="0" g="0" b="0"/>
                          </a:effectRef>
                          <a:fontRef idx="none"/>
                        </wps:style>
                        <wps:bodyPr/>
                      </wps:wsp>
                      <wps:wsp>
                        <wps:cNvPr id="21" name="Shape 21"/>
                        <wps:cNvSpPr/>
                        <wps:spPr>
                          <a:xfrm>
                            <a:off x="4735322" y="643763"/>
                            <a:ext cx="434340" cy="9525"/>
                          </a:xfrm>
                          <a:custGeom>
                            <a:avLst/>
                            <a:gdLst/>
                            <a:ahLst/>
                            <a:cxnLst/>
                            <a:rect l="0" t="0" r="0" b="0"/>
                            <a:pathLst>
                              <a:path w="434340" h="9525">
                                <a:moveTo>
                                  <a:pt x="9525" y="0"/>
                                </a:moveTo>
                                <a:lnTo>
                                  <a:pt x="424815" y="0"/>
                                </a:lnTo>
                                <a:lnTo>
                                  <a:pt x="434340" y="9525"/>
                                </a:lnTo>
                                <a:lnTo>
                                  <a:pt x="0" y="9525"/>
                                </a:lnTo>
                                <a:lnTo>
                                  <a:pt x="9525" y="0"/>
                                </a:lnTo>
                                <a:close/>
                              </a:path>
                            </a:pathLst>
                          </a:custGeom>
                          <a:ln w="0" cap="sq">
                            <a:miter lim="127000"/>
                          </a:ln>
                        </wps:spPr>
                        <wps:style>
                          <a:lnRef idx="0">
                            <a:srgbClr val="000000">
                              <a:alpha val="0"/>
                            </a:srgbClr>
                          </a:lnRef>
                          <a:fillRef idx="1">
                            <a:srgbClr val="000000"/>
                          </a:fillRef>
                          <a:effectRef idx="0">
                            <a:scrgbClr r="0" g="0" b="0"/>
                          </a:effectRef>
                          <a:fontRef idx="none"/>
                        </wps:style>
                        <wps:bodyPr/>
                      </wps:wsp>
                      <wps:wsp>
                        <wps:cNvPr id="22" name="Shape 22"/>
                        <wps:cNvSpPr/>
                        <wps:spPr>
                          <a:xfrm>
                            <a:off x="4735322" y="0"/>
                            <a:ext cx="9525" cy="653288"/>
                          </a:xfrm>
                          <a:custGeom>
                            <a:avLst/>
                            <a:gdLst/>
                            <a:ahLst/>
                            <a:cxnLst/>
                            <a:rect l="0" t="0" r="0" b="0"/>
                            <a:pathLst>
                              <a:path w="9525" h="653288">
                                <a:moveTo>
                                  <a:pt x="0" y="0"/>
                                </a:moveTo>
                                <a:lnTo>
                                  <a:pt x="9525" y="9525"/>
                                </a:lnTo>
                                <a:lnTo>
                                  <a:pt x="9525" y="643763"/>
                                </a:lnTo>
                                <a:lnTo>
                                  <a:pt x="0" y="653288"/>
                                </a:lnTo>
                                <a:lnTo>
                                  <a:pt x="0" y="0"/>
                                </a:lnTo>
                                <a:close/>
                              </a:path>
                            </a:pathLst>
                          </a:custGeom>
                          <a:ln w="0" cap="sq">
                            <a:miter lim="127000"/>
                          </a:ln>
                        </wps:spPr>
                        <wps:style>
                          <a:lnRef idx="0">
                            <a:srgbClr val="000000">
                              <a:alpha val="0"/>
                            </a:srgbClr>
                          </a:lnRef>
                          <a:fillRef idx="1">
                            <a:srgbClr val="000000"/>
                          </a:fillRef>
                          <a:effectRef idx="0">
                            <a:scrgbClr r="0" g="0" b="0"/>
                          </a:effectRef>
                          <a:fontRef idx="none"/>
                        </wps:style>
                        <wps:bodyPr/>
                      </wps:wsp>
                      <wps:wsp>
                        <wps:cNvPr id="23" name="Shape 23"/>
                        <wps:cNvSpPr/>
                        <wps:spPr>
                          <a:xfrm>
                            <a:off x="5160137" y="0"/>
                            <a:ext cx="404876" cy="9525"/>
                          </a:xfrm>
                          <a:custGeom>
                            <a:avLst/>
                            <a:gdLst/>
                            <a:ahLst/>
                            <a:cxnLst/>
                            <a:rect l="0" t="0" r="0" b="0"/>
                            <a:pathLst>
                              <a:path w="404876" h="9525">
                                <a:moveTo>
                                  <a:pt x="0" y="0"/>
                                </a:moveTo>
                                <a:lnTo>
                                  <a:pt x="404876" y="0"/>
                                </a:lnTo>
                                <a:lnTo>
                                  <a:pt x="395351" y="9525"/>
                                </a:lnTo>
                                <a:lnTo>
                                  <a:pt x="9525" y="9525"/>
                                </a:lnTo>
                                <a:lnTo>
                                  <a:pt x="0" y="0"/>
                                </a:lnTo>
                                <a:close/>
                              </a:path>
                            </a:pathLst>
                          </a:custGeom>
                          <a:ln w="0" cap="sq">
                            <a:miter lim="127000"/>
                          </a:ln>
                        </wps:spPr>
                        <wps:style>
                          <a:lnRef idx="0">
                            <a:srgbClr val="000000">
                              <a:alpha val="0"/>
                            </a:srgbClr>
                          </a:lnRef>
                          <a:fillRef idx="1">
                            <a:srgbClr val="000000"/>
                          </a:fillRef>
                          <a:effectRef idx="0">
                            <a:scrgbClr r="0" g="0" b="0"/>
                          </a:effectRef>
                          <a:fontRef idx="none"/>
                        </wps:style>
                        <wps:bodyPr/>
                      </wps:wsp>
                      <wps:wsp>
                        <wps:cNvPr id="24" name="Shape 24"/>
                        <wps:cNvSpPr/>
                        <wps:spPr>
                          <a:xfrm>
                            <a:off x="5555488" y="0"/>
                            <a:ext cx="9525" cy="653288"/>
                          </a:xfrm>
                          <a:custGeom>
                            <a:avLst/>
                            <a:gdLst/>
                            <a:ahLst/>
                            <a:cxnLst/>
                            <a:rect l="0" t="0" r="0" b="0"/>
                            <a:pathLst>
                              <a:path w="9525" h="653288">
                                <a:moveTo>
                                  <a:pt x="9525" y="0"/>
                                </a:moveTo>
                                <a:lnTo>
                                  <a:pt x="9525" y="653288"/>
                                </a:lnTo>
                                <a:lnTo>
                                  <a:pt x="0" y="643763"/>
                                </a:lnTo>
                                <a:lnTo>
                                  <a:pt x="0" y="9525"/>
                                </a:lnTo>
                                <a:lnTo>
                                  <a:pt x="9525" y="0"/>
                                </a:lnTo>
                                <a:close/>
                              </a:path>
                            </a:pathLst>
                          </a:custGeom>
                          <a:ln w="0" cap="sq">
                            <a:miter lim="127000"/>
                          </a:ln>
                        </wps:spPr>
                        <wps:style>
                          <a:lnRef idx="0">
                            <a:srgbClr val="000000">
                              <a:alpha val="0"/>
                            </a:srgbClr>
                          </a:lnRef>
                          <a:fillRef idx="1">
                            <a:srgbClr val="000000"/>
                          </a:fillRef>
                          <a:effectRef idx="0">
                            <a:scrgbClr r="0" g="0" b="0"/>
                          </a:effectRef>
                          <a:fontRef idx="none"/>
                        </wps:style>
                        <wps:bodyPr/>
                      </wps:wsp>
                      <wps:wsp>
                        <wps:cNvPr id="25" name="Shape 25"/>
                        <wps:cNvSpPr/>
                        <wps:spPr>
                          <a:xfrm>
                            <a:off x="5160137" y="643763"/>
                            <a:ext cx="404876" cy="9525"/>
                          </a:xfrm>
                          <a:custGeom>
                            <a:avLst/>
                            <a:gdLst/>
                            <a:ahLst/>
                            <a:cxnLst/>
                            <a:rect l="0" t="0" r="0" b="0"/>
                            <a:pathLst>
                              <a:path w="404876" h="9525">
                                <a:moveTo>
                                  <a:pt x="9525" y="0"/>
                                </a:moveTo>
                                <a:lnTo>
                                  <a:pt x="395351" y="0"/>
                                </a:lnTo>
                                <a:lnTo>
                                  <a:pt x="404876" y="9525"/>
                                </a:lnTo>
                                <a:lnTo>
                                  <a:pt x="0" y="9525"/>
                                </a:lnTo>
                                <a:lnTo>
                                  <a:pt x="9525" y="0"/>
                                </a:lnTo>
                                <a:close/>
                              </a:path>
                            </a:pathLst>
                          </a:custGeom>
                          <a:ln w="0" cap="sq">
                            <a:miter lim="127000"/>
                          </a:ln>
                        </wps:spPr>
                        <wps:style>
                          <a:lnRef idx="0">
                            <a:srgbClr val="000000">
                              <a:alpha val="0"/>
                            </a:srgbClr>
                          </a:lnRef>
                          <a:fillRef idx="1">
                            <a:srgbClr val="000000"/>
                          </a:fillRef>
                          <a:effectRef idx="0">
                            <a:scrgbClr r="0" g="0" b="0"/>
                          </a:effectRef>
                          <a:fontRef idx="none"/>
                        </wps:style>
                        <wps:bodyPr/>
                      </wps:wsp>
                      <wps:wsp>
                        <wps:cNvPr id="26" name="Shape 26"/>
                        <wps:cNvSpPr/>
                        <wps:spPr>
                          <a:xfrm>
                            <a:off x="5160137" y="0"/>
                            <a:ext cx="9525" cy="653288"/>
                          </a:xfrm>
                          <a:custGeom>
                            <a:avLst/>
                            <a:gdLst/>
                            <a:ahLst/>
                            <a:cxnLst/>
                            <a:rect l="0" t="0" r="0" b="0"/>
                            <a:pathLst>
                              <a:path w="9525" h="653288">
                                <a:moveTo>
                                  <a:pt x="0" y="0"/>
                                </a:moveTo>
                                <a:lnTo>
                                  <a:pt x="9525" y="9525"/>
                                </a:lnTo>
                                <a:lnTo>
                                  <a:pt x="9525" y="643763"/>
                                </a:lnTo>
                                <a:lnTo>
                                  <a:pt x="0" y="653288"/>
                                </a:lnTo>
                                <a:lnTo>
                                  <a:pt x="0" y="0"/>
                                </a:lnTo>
                                <a:close/>
                              </a:path>
                            </a:pathLst>
                          </a:custGeom>
                          <a:ln w="0" cap="sq">
                            <a:miter lim="127000"/>
                          </a:ln>
                        </wps:spPr>
                        <wps:style>
                          <a:lnRef idx="0">
                            <a:srgbClr val="000000">
                              <a:alpha val="0"/>
                            </a:srgbClr>
                          </a:lnRef>
                          <a:fillRef idx="1">
                            <a:srgbClr val="000000"/>
                          </a:fillRef>
                          <a:effectRef idx="0">
                            <a:scrgbClr r="0" g="0" b="0"/>
                          </a:effectRef>
                          <a:fontRef idx="none"/>
                        </wps:style>
                        <wps:bodyPr/>
                      </wps:wsp>
                      <wps:wsp>
                        <wps:cNvPr id="27" name="Shape 27"/>
                        <wps:cNvSpPr/>
                        <wps:spPr>
                          <a:xfrm>
                            <a:off x="5555488" y="0"/>
                            <a:ext cx="424307" cy="9525"/>
                          </a:xfrm>
                          <a:custGeom>
                            <a:avLst/>
                            <a:gdLst/>
                            <a:ahLst/>
                            <a:cxnLst/>
                            <a:rect l="0" t="0" r="0" b="0"/>
                            <a:pathLst>
                              <a:path w="424307" h="9525">
                                <a:moveTo>
                                  <a:pt x="0" y="0"/>
                                </a:moveTo>
                                <a:lnTo>
                                  <a:pt x="424307" y="0"/>
                                </a:lnTo>
                                <a:lnTo>
                                  <a:pt x="414782" y="9525"/>
                                </a:lnTo>
                                <a:lnTo>
                                  <a:pt x="9525" y="9525"/>
                                </a:lnTo>
                                <a:lnTo>
                                  <a:pt x="0" y="0"/>
                                </a:lnTo>
                                <a:close/>
                              </a:path>
                            </a:pathLst>
                          </a:custGeom>
                          <a:ln w="0" cap="sq">
                            <a:miter lim="127000"/>
                          </a:ln>
                        </wps:spPr>
                        <wps:style>
                          <a:lnRef idx="0">
                            <a:srgbClr val="000000">
                              <a:alpha val="0"/>
                            </a:srgbClr>
                          </a:lnRef>
                          <a:fillRef idx="1">
                            <a:srgbClr val="000000"/>
                          </a:fillRef>
                          <a:effectRef idx="0">
                            <a:scrgbClr r="0" g="0" b="0"/>
                          </a:effectRef>
                          <a:fontRef idx="none"/>
                        </wps:style>
                        <wps:bodyPr/>
                      </wps:wsp>
                      <wps:wsp>
                        <wps:cNvPr id="28" name="Shape 28"/>
                        <wps:cNvSpPr/>
                        <wps:spPr>
                          <a:xfrm>
                            <a:off x="5970270" y="0"/>
                            <a:ext cx="9525" cy="653288"/>
                          </a:xfrm>
                          <a:custGeom>
                            <a:avLst/>
                            <a:gdLst/>
                            <a:ahLst/>
                            <a:cxnLst/>
                            <a:rect l="0" t="0" r="0" b="0"/>
                            <a:pathLst>
                              <a:path w="9525" h="653288">
                                <a:moveTo>
                                  <a:pt x="9525" y="0"/>
                                </a:moveTo>
                                <a:lnTo>
                                  <a:pt x="9525" y="653288"/>
                                </a:lnTo>
                                <a:lnTo>
                                  <a:pt x="0" y="643763"/>
                                </a:lnTo>
                                <a:lnTo>
                                  <a:pt x="0" y="9525"/>
                                </a:lnTo>
                                <a:lnTo>
                                  <a:pt x="9525" y="0"/>
                                </a:lnTo>
                                <a:close/>
                              </a:path>
                            </a:pathLst>
                          </a:custGeom>
                          <a:ln w="0" cap="sq">
                            <a:miter lim="127000"/>
                          </a:ln>
                        </wps:spPr>
                        <wps:style>
                          <a:lnRef idx="0">
                            <a:srgbClr val="000000">
                              <a:alpha val="0"/>
                            </a:srgbClr>
                          </a:lnRef>
                          <a:fillRef idx="1">
                            <a:srgbClr val="000000"/>
                          </a:fillRef>
                          <a:effectRef idx="0">
                            <a:scrgbClr r="0" g="0" b="0"/>
                          </a:effectRef>
                          <a:fontRef idx="none"/>
                        </wps:style>
                        <wps:bodyPr/>
                      </wps:wsp>
                      <wps:wsp>
                        <wps:cNvPr id="29" name="Shape 29"/>
                        <wps:cNvSpPr/>
                        <wps:spPr>
                          <a:xfrm>
                            <a:off x="5555488" y="643763"/>
                            <a:ext cx="424307" cy="9525"/>
                          </a:xfrm>
                          <a:custGeom>
                            <a:avLst/>
                            <a:gdLst/>
                            <a:ahLst/>
                            <a:cxnLst/>
                            <a:rect l="0" t="0" r="0" b="0"/>
                            <a:pathLst>
                              <a:path w="424307" h="9525">
                                <a:moveTo>
                                  <a:pt x="9525" y="0"/>
                                </a:moveTo>
                                <a:lnTo>
                                  <a:pt x="414782" y="0"/>
                                </a:lnTo>
                                <a:lnTo>
                                  <a:pt x="424307" y="9525"/>
                                </a:lnTo>
                                <a:lnTo>
                                  <a:pt x="0" y="9525"/>
                                </a:lnTo>
                                <a:lnTo>
                                  <a:pt x="9525" y="0"/>
                                </a:lnTo>
                                <a:close/>
                              </a:path>
                            </a:pathLst>
                          </a:custGeom>
                          <a:ln w="0" cap="sq">
                            <a:miter lim="127000"/>
                          </a:ln>
                        </wps:spPr>
                        <wps:style>
                          <a:lnRef idx="0">
                            <a:srgbClr val="000000">
                              <a:alpha val="0"/>
                            </a:srgbClr>
                          </a:lnRef>
                          <a:fillRef idx="1">
                            <a:srgbClr val="000000"/>
                          </a:fillRef>
                          <a:effectRef idx="0">
                            <a:scrgbClr r="0" g="0" b="0"/>
                          </a:effectRef>
                          <a:fontRef idx="none"/>
                        </wps:style>
                        <wps:bodyPr/>
                      </wps:wsp>
                      <wps:wsp>
                        <wps:cNvPr id="30" name="Shape 30"/>
                        <wps:cNvSpPr/>
                        <wps:spPr>
                          <a:xfrm>
                            <a:off x="5555488" y="0"/>
                            <a:ext cx="9525" cy="653288"/>
                          </a:xfrm>
                          <a:custGeom>
                            <a:avLst/>
                            <a:gdLst/>
                            <a:ahLst/>
                            <a:cxnLst/>
                            <a:rect l="0" t="0" r="0" b="0"/>
                            <a:pathLst>
                              <a:path w="9525" h="653288">
                                <a:moveTo>
                                  <a:pt x="0" y="0"/>
                                </a:moveTo>
                                <a:lnTo>
                                  <a:pt x="9525" y="9525"/>
                                </a:lnTo>
                                <a:lnTo>
                                  <a:pt x="9525" y="643763"/>
                                </a:lnTo>
                                <a:lnTo>
                                  <a:pt x="0" y="653288"/>
                                </a:lnTo>
                                <a:lnTo>
                                  <a:pt x="0" y="0"/>
                                </a:lnTo>
                                <a:close/>
                              </a:path>
                            </a:pathLst>
                          </a:custGeom>
                          <a:ln w="0" cap="sq">
                            <a:miter lim="127000"/>
                          </a:ln>
                        </wps:spPr>
                        <wps:style>
                          <a:lnRef idx="0">
                            <a:srgbClr val="000000">
                              <a:alpha val="0"/>
                            </a:srgbClr>
                          </a:lnRef>
                          <a:fillRef idx="1">
                            <a:srgbClr val="000000"/>
                          </a:fillRef>
                          <a:effectRef idx="0">
                            <a:scrgbClr r="0" g="0" b="0"/>
                          </a:effectRef>
                          <a:fontRef idx="none"/>
                        </wps:style>
                        <wps:bodyPr/>
                      </wps:wsp>
                      <wps:wsp>
                        <wps:cNvPr id="31" name="Shape 31"/>
                        <wps:cNvSpPr/>
                        <wps:spPr>
                          <a:xfrm>
                            <a:off x="5970270" y="0"/>
                            <a:ext cx="439166" cy="9525"/>
                          </a:xfrm>
                          <a:custGeom>
                            <a:avLst/>
                            <a:gdLst/>
                            <a:ahLst/>
                            <a:cxnLst/>
                            <a:rect l="0" t="0" r="0" b="0"/>
                            <a:pathLst>
                              <a:path w="439166" h="9525">
                                <a:moveTo>
                                  <a:pt x="0" y="0"/>
                                </a:moveTo>
                                <a:lnTo>
                                  <a:pt x="439166" y="0"/>
                                </a:lnTo>
                                <a:lnTo>
                                  <a:pt x="429641" y="9525"/>
                                </a:lnTo>
                                <a:lnTo>
                                  <a:pt x="9525" y="9525"/>
                                </a:lnTo>
                                <a:lnTo>
                                  <a:pt x="0" y="0"/>
                                </a:lnTo>
                                <a:close/>
                              </a:path>
                            </a:pathLst>
                          </a:custGeom>
                          <a:ln w="0" cap="sq">
                            <a:miter lim="127000"/>
                          </a:ln>
                        </wps:spPr>
                        <wps:style>
                          <a:lnRef idx="0">
                            <a:srgbClr val="000000">
                              <a:alpha val="0"/>
                            </a:srgbClr>
                          </a:lnRef>
                          <a:fillRef idx="1">
                            <a:srgbClr val="000000"/>
                          </a:fillRef>
                          <a:effectRef idx="0">
                            <a:scrgbClr r="0" g="0" b="0"/>
                          </a:effectRef>
                          <a:fontRef idx="none"/>
                        </wps:style>
                        <wps:bodyPr/>
                      </wps:wsp>
                      <wps:wsp>
                        <wps:cNvPr id="32" name="Shape 32"/>
                        <wps:cNvSpPr/>
                        <wps:spPr>
                          <a:xfrm>
                            <a:off x="6399911" y="0"/>
                            <a:ext cx="9525" cy="653288"/>
                          </a:xfrm>
                          <a:custGeom>
                            <a:avLst/>
                            <a:gdLst/>
                            <a:ahLst/>
                            <a:cxnLst/>
                            <a:rect l="0" t="0" r="0" b="0"/>
                            <a:pathLst>
                              <a:path w="9525" h="653288">
                                <a:moveTo>
                                  <a:pt x="9525" y="0"/>
                                </a:moveTo>
                                <a:lnTo>
                                  <a:pt x="9525" y="653288"/>
                                </a:lnTo>
                                <a:lnTo>
                                  <a:pt x="0" y="643763"/>
                                </a:lnTo>
                                <a:lnTo>
                                  <a:pt x="0" y="9525"/>
                                </a:lnTo>
                                <a:lnTo>
                                  <a:pt x="9525" y="0"/>
                                </a:lnTo>
                                <a:close/>
                              </a:path>
                            </a:pathLst>
                          </a:custGeom>
                          <a:ln w="0" cap="sq">
                            <a:miter lim="127000"/>
                          </a:ln>
                        </wps:spPr>
                        <wps:style>
                          <a:lnRef idx="0">
                            <a:srgbClr val="000000">
                              <a:alpha val="0"/>
                            </a:srgbClr>
                          </a:lnRef>
                          <a:fillRef idx="1">
                            <a:srgbClr val="000000"/>
                          </a:fillRef>
                          <a:effectRef idx="0">
                            <a:scrgbClr r="0" g="0" b="0"/>
                          </a:effectRef>
                          <a:fontRef idx="none"/>
                        </wps:style>
                        <wps:bodyPr/>
                      </wps:wsp>
                      <wps:wsp>
                        <wps:cNvPr id="33" name="Shape 33"/>
                        <wps:cNvSpPr/>
                        <wps:spPr>
                          <a:xfrm>
                            <a:off x="5970270" y="643763"/>
                            <a:ext cx="439166" cy="9525"/>
                          </a:xfrm>
                          <a:custGeom>
                            <a:avLst/>
                            <a:gdLst/>
                            <a:ahLst/>
                            <a:cxnLst/>
                            <a:rect l="0" t="0" r="0" b="0"/>
                            <a:pathLst>
                              <a:path w="439166" h="9525">
                                <a:moveTo>
                                  <a:pt x="9525" y="0"/>
                                </a:moveTo>
                                <a:lnTo>
                                  <a:pt x="429641" y="0"/>
                                </a:lnTo>
                                <a:lnTo>
                                  <a:pt x="439166" y="9525"/>
                                </a:lnTo>
                                <a:lnTo>
                                  <a:pt x="0" y="9525"/>
                                </a:lnTo>
                                <a:lnTo>
                                  <a:pt x="9525" y="0"/>
                                </a:lnTo>
                                <a:close/>
                              </a:path>
                            </a:pathLst>
                          </a:custGeom>
                          <a:ln w="0" cap="sq">
                            <a:miter lim="127000"/>
                          </a:ln>
                        </wps:spPr>
                        <wps:style>
                          <a:lnRef idx="0">
                            <a:srgbClr val="000000">
                              <a:alpha val="0"/>
                            </a:srgbClr>
                          </a:lnRef>
                          <a:fillRef idx="1">
                            <a:srgbClr val="000000"/>
                          </a:fillRef>
                          <a:effectRef idx="0">
                            <a:scrgbClr r="0" g="0" b="0"/>
                          </a:effectRef>
                          <a:fontRef idx="none"/>
                        </wps:style>
                        <wps:bodyPr/>
                      </wps:wsp>
                      <wps:wsp>
                        <wps:cNvPr id="34" name="Shape 34"/>
                        <wps:cNvSpPr/>
                        <wps:spPr>
                          <a:xfrm>
                            <a:off x="5970270" y="0"/>
                            <a:ext cx="9525" cy="653288"/>
                          </a:xfrm>
                          <a:custGeom>
                            <a:avLst/>
                            <a:gdLst/>
                            <a:ahLst/>
                            <a:cxnLst/>
                            <a:rect l="0" t="0" r="0" b="0"/>
                            <a:pathLst>
                              <a:path w="9525" h="653288">
                                <a:moveTo>
                                  <a:pt x="0" y="0"/>
                                </a:moveTo>
                                <a:lnTo>
                                  <a:pt x="9525" y="9525"/>
                                </a:lnTo>
                                <a:lnTo>
                                  <a:pt x="9525" y="643763"/>
                                </a:lnTo>
                                <a:lnTo>
                                  <a:pt x="0" y="653288"/>
                                </a:lnTo>
                                <a:lnTo>
                                  <a:pt x="0" y="0"/>
                                </a:lnTo>
                                <a:close/>
                              </a:path>
                            </a:pathLst>
                          </a:custGeom>
                          <a:ln w="0" cap="sq">
                            <a:miter lim="127000"/>
                          </a:ln>
                        </wps:spPr>
                        <wps:style>
                          <a:lnRef idx="0">
                            <a:srgbClr val="000000">
                              <a:alpha val="0"/>
                            </a:srgbClr>
                          </a:lnRef>
                          <a:fillRef idx="1">
                            <a:srgbClr val="000000"/>
                          </a:fillRef>
                          <a:effectRef idx="0">
                            <a:scrgbClr r="0" g="0" b="0"/>
                          </a:effectRef>
                          <a:fontRef idx="none"/>
                        </wps:style>
                        <wps:bodyPr/>
                      </wps:wsp>
                      <wps:wsp>
                        <wps:cNvPr id="35" name="Shape 35"/>
                        <wps:cNvSpPr/>
                        <wps:spPr>
                          <a:xfrm>
                            <a:off x="6399911" y="0"/>
                            <a:ext cx="657225" cy="9525"/>
                          </a:xfrm>
                          <a:custGeom>
                            <a:avLst/>
                            <a:gdLst/>
                            <a:ahLst/>
                            <a:cxnLst/>
                            <a:rect l="0" t="0" r="0" b="0"/>
                            <a:pathLst>
                              <a:path w="657225" h="9525">
                                <a:moveTo>
                                  <a:pt x="0" y="0"/>
                                </a:moveTo>
                                <a:lnTo>
                                  <a:pt x="657225" y="0"/>
                                </a:lnTo>
                                <a:lnTo>
                                  <a:pt x="647700" y="9525"/>
                                </a:lnTo>
                                <a:lnTo>
                                  <a:pt x="9525" y="9525"/>
                                </a:lnTo>
                                <a:lnTo>
                                  <a:pt x="0" y="0"/>
                                </a:lnTo>
                                <a:close/>
                              </a:path>
                            </a:pathLst>
                          </a:custGeom>
                          <a:ln w="0" cap="sq">
                            <a:miter lim="127000"/>
                          </a:ln>
                        </wps:spPr>
                        <wps:style>
                          <a:lnRef idx="0">
                            <a:srgbClr val="000000">
                              <a:alpha val="0"/>
                            </a:srgbClr>
                          </a:lnRef>
                          <a:fillRef idx="1">
                            <a:srgbClr val="000000"/>
                          </a:fillRef>
                          <a:effectRef idx="0">
                            <a:scrgbClr r="0" g="0" b="0"/>
                          </a:effectRef>
                          <a:fontRef idx="none"/>
                        </wps:style>
                        <wps:bodyPr/>
                      </wps:wsp>
                      <wps:wsp>
                        <wps:cNvPr id="36" name="Shape 36"/>
                        <wps:cNvSpPr/>
                        <wps:spPr>
                          <a:xfrm>
                            <a:off x="7047611" y="0"/>
                            <a:ext cx="9525" cy="653288"/>
                          </a:xfrm>
                          <a:custGeom>
                            <a:avLst/>
                            <a:gdLst/>
                            <a:ahLst/>
                            <a:cxnLst/>
                            <a:rect l="0" t="0" r="0" b="0"/>
                            <a:pathLst>
                              <a:path w="9525" h="653288">
                                <a:moveTo>
                                  <a:pt x="9525" y="0"/>
                                </a:moveTo>
                                <a:lnTo>
                                  <a:pt x="9525" y="653288"/>
                                </a:lnTo>
                                <a:lnTo>
                                  <a:pt x="0" y="643763"/>
                                </a:lnTo>
                                <a:lnTo>
                                  <a:pt x="0" y="9525"/>
                                </a:lnTo>
                                <a:lnTo>
                                  <a:pt x="9525" y="0"/>
                                </a:lnTo>
                                <a:close/>
                              </a:path>
                            </a:pathLst>
                          </a:custGeom>
                          <a:ln w="0" cap="sq">
                            <a:miter lim="127000"/>
                          </a:ln>
                        </wps:spPr>
                        <wps:style>
                          <a:lnRef idx="0">
                            <a:srgbClr val="000000">
                              <a:alpha val="0"/>
                            </a:srgbClr>
                          </a:lnRef>
                          <a:fillRef idx="1">
                            <a:srgbClr val="000000"/>
                          </a:fillRef>
                          <a:effectRef idx="0">
                            <a:scrgbClr r="0" g="0" b="0"/>
                          </a:effectRef>
                          <a:fontRef idx="none"/>
                        </wps:style>
                        <wps:bodyPr/>
                      </wps:wsp>
                      <wps:wsp>
                        <wps:cNvPr id="37" name="Shape 37"/>
                        <wps:cNvSpPr/>
                        <wps:spPr>
                          <a:xfrm>
                            <a:off x="6399911" y="643763"/>
                            <a:ext cx="657225" cy="9525"/>
                          </a:xfrm>
                          <a:custGeom>
                            <a:avLst/>
                            <a:gdLst/>
                            <a:ahLst/>
                            <a:cxnLst/>
                            <a:rect l="0" t="0" r="0" b="0"/>
                            <a:pathLst>
                              <a:path w="657225" h="9525">
                                <a:moveTo>
                                  <a:pt x="9525" y="0"/>
                                </a:moveTo>
                                <a:lnTo>
                                  <a:pt x="647700" y="0"/>
                                </a:lnTo>
                                <a:lnTo>
                                  <a:pt x="657225" y="9525"/>
                                </a:lnTo>
                                <a:lnTo>
                                  <a:pt x="0" y="9525"/>
                                </a:lnTo>
                                <a:lnTo>
                                  <a:pt x="9525" y="0"/>
                                </a:lnTo>
                                <a:close/>
                              </a:path>
                            </a:pathLst>
                          </a:custGeom>
                          <a:ln w="0" cap="sq">
                            <a:miter lim="127000"/>
                          </a:ln>
                        </wps:spPr>
                        <wps:style>
                          <a:lnRef idx="0">
                            <a:srgbClr val="000000">
                              <a:alpha val="0"/>
                            </a:srgbClr>
                          </a:lnRef>
                          <a:fillRef idx="1">
                            <a:srgbClr val="000000"/>
                          </a:fillRef>
                          <a:effectRef idx="0">
                            <a:scrgbClr r="0" g="0" b="0"/>
                          </a:effectRef>
                          <a:fontRef idx="none"/>
                        </wps:style>
                        <wps:bodyPr/>
                      </wps:wsp>
                      <wps:wsp>
                        <wps:cNvPr id="38" name="Shape 38"/>
                        <wps:cNvSpPr/>
                        <wps:spPr>
                          <a:xfrm>
                            <a:off x="6399911" y="0"/>
                            <a:ext cx="9525" cy="653288"/>
                          </a:xfrm>
                          <a:custGeom>
                            <a:avLst/>
                            <a:gdLst/>
                            <a:ahLst/>
                            <a:cxnLst/>
                            <a:rect l="0" t="0" r="0" b="0"/>
                            <a:pathLst>
                              <a:path w="9525" h="653288">
                                <a:moveTo>
                                  <a:pt x="0" y="0"/>
                                </a:moveTo>
                                <a:lnTo>
                                  <a:pt x="9525" y="9525"/>
                                </a:lnTo>
                                <a:lnTo>
                                  <a:pt x="9525" y="643763"/>
                                </a:lnTo>
                                <a:lnTo>
                                  <a:pt x="0" y="653288"/>
                                </a:lnTo>
                                <a:lnTo>
                                  <a:pt x="0" y="0"/>
                                </a:lnTo>
                                <a:close/>
                              </a:path>
                            </a:pathLst>
                          </a:custGeom>
                          <a:ln w="0" cap="sq">
                            <a:miter lim="127000"/>
                          </a:ln>
                        </wps:spPr>
                        <wps:style>
                          <a:lnRef idx="0">
                            <a:srgbClr val="000000">
                              <a:alpha val="0"/>
                            </a:srgbClr>
                          </a:lnRef>
                          <a:fillRef idx="1">
                            <a:srgbClr val="000000"/>
                          </a:fillRef>
                          <a:effectRef idx="0">
                            <a:scrgbClr r="0" g="0" b="0"/>
                          </a:effectRef>
                          <a:fontRef idx="none"/>
                        </wps:style>
                        <wps:bodyPr/>
                      </wps:wsp>
                      <wps:wsp>
                        <wps:cNvPr id="39" name="Shape 39"/>
                        <wps:cNvSpPr/>
                        <wps:spPr>
                          <a:xfrm>
                            <a:off x="0" y="643763"/>
                            <a:ext cx="221488" cy="9525"/>
                          </a:xfrm>
                          <a:custGeom>
                            <a:avLst/>
                            <a:gdLst/>
                            <a:ahLst/>
                            <a:cxnLst/>
                            <a:rect l="0" t="0" r="0" b="0"/>
                            <a:pathLst>
                              <a:path w="221488" h="9525">
                                <a:moveTo>
                                  <a:pt x="0" y="0"/>
                                </a:moveTo>
                                <a:lnTo>
                                  <a:pt x="221488" y="0"/>
                                </a:lnTo>
                                <a:lnTo>
                                  <a:pt x="211963" y="9525"/>
                                </a:lnTo>
                                <a:lnTo>
                                  <a:pt x="9525" y="9525"/>
                                </a:lnTo>
                                <a:lnTo>
                                  <a:pt x="0" y="0"/>
                                </a:lnTo>
                                <a:close/>
                              </a:path>
                            </a:pathLst>
                          </a:custGeom>
                          <a:ln w="0" cap="sq">
                            <a:miter lim="127000"/>
                          </a:ln>
                        </wps:spPr>
                        <wps:style>
                          <a:lnRef idx="0">
                            <a:srgbClr val="000000">
                              <a:alpha val="0"/>
                            </a:srgbClr>
                          </a:lnRef>
                          <a:fillRef idx="1">
                            <a:srgbClr val="000000"/>
                          </a:fillRef>
                          <a:effectRef idx="0">
                            <a:scrgbClr r="0" g="0" b="0"/>
                          </a:effectRef>
                          <a:fontRef idx="none"/>
                        </wps:style>
                        <wps:bodyPr/>
                      </wps:wsp>
                      <wps:wsp>
                        <wps:cNvPr id="40" name="Shape 40"/>
                        <wps:cNvSpPr/>
                        <wps:spPr>
                          <a:xfrm>
                            <a:off x="211963" y="643763"/>
                            <a:ext cx="9525" cy="2269362"/>
                          </a:xfrm>
                          <a:custGeom>
                            <a:avLst/>
                            <a:gdLst/>
                            <a:ahLst/>
                            <a:cxnLst/>
                            <a:rect l="0" t="0" r="0" b="0"/>
                            <a:pathLst>
                              <a:path w="9525" h="2269362">
                                <a:moveTo>
                                  <a:pt x="9525" y="0"/>
                                </a:moveTo>
                                <a:lnTo>
                                  <a:pt x="9525" y="2269362"/>
                                </a:lnTo>
                                <a:lnTo>
                                  <a:pt x="0" y="2259837"/>
                                </a:lnTo>
                                <a:lnTo>
                                  <a:pt x="0" y="9525"/>
                                </a:lnTo>
                                <a:lnTo>
                                  <a:pt x="9525" y="0"/>
                                </a:lnTo>
                                <a:close/>
                              </a:path>
                            </a:pathLst>
                          </a:custGeom>
                          <a:ln w="0" cap="sq">
                            <a:miter lim="127000"/>
                          </a:ln>
                        </wps:spPr>
                        <wps:style>
                          <a:lnRef idx="0">
                            <a:srgbClr val="000000">
                              <a:alpha val="0"/>
                            </a:srgbClr>
                          </a:lnRef>
                          <a:fillRef idx="1">
                            <a:srgbClr val="000000"/>
                          </a:fillRef>
                          <a:effectRef idx="0">
                            <a:scrgbClr r="0" g="0" b="0"/>
                          </a:effectRef>
                          <a:fontRef idx="none"/>
                        </wps:style>
                        <wps:bodyPr/>
                      </wps:wsp>
                      <wps:wsp>
                        <wps:cNvPr id="41" name="Shape 41"/>
                        <wps:cNvSpPr/>
                        <wps:spPr>
                          <a:xfrm>
                            <a:off x="0" y="2903601"/>
                            <a:ext cx="221488" cy="9525"/>
                          </a:xfrm>
                          <a:custGeom>
                            <a:avLst/>
                            <a:gdLst/>
                            <a:ahLst/>
                            <a:cxnLst/>
                            <a:rect l="0" t="0" r="0" b="0"/>
                            <a:pathLst>
                              <a:path w="221488" h="9525">
                                <a:moveTo>
                                  <a:pt x="9525" y="0"/>
                                </a:moveTo>
                                <a:lnTo>
                                  <a:pt x="211963" y="0"/>
                                </a:lnTo>
                                <a:lnTo>
                                  <a:pt x="221488" y="9525"/>
                                </a:lnTo>
                                <a:lnTo>
                                  <a:pt x="0" y="9525"/>
                                </a:lnTo>
                                <a:lnTo>
                                  <a:pt x="9525" y="0"/>
                                </a:lnTo>
                                <a:close/>
                              </a:path>
                            </a:pathLst>
                          </a:custGeom>
                          <a:ln w="0" cap="sq">
                            <a:miter lim="127000"/>
                          </a:ln>
                        </wps:spPr>
                        <wps:style>
                          <a:lnRef idx="0">
                            <a:srgbClr val="000000">
                              <a:alpha val="0"/>
                            </a:srgbClr>
                          </a:lnRef>
                          <a:fillRef idx="1">
                            <a:srgbClr val="000000"/>
                          </a:fillRef>
                          <a:effectRef idx="0">
                            <a:scrgbClr r="0" g="0" b="0"/>
                          </a:effectRef>
                          <a:fontRef idx="none"/>
                        </wps:style>
                        <wps:bodyPr/>
                      </wps:wsp>
                      <wps:wsp>
                        <wps:cNvPr id="42" name="Shape 42"/>
                        <wps:cNvSpPr/>
                        <wps:spPr>
                          <a:xfrm>
                            <a:off x="0" y="643763"/>
                            <a:ext cx="9525" cy="2269362"/>
                          </a:xfrm>
                          <a:custGeom>
                            <a:avLst/>
                            <a:gdLst/>
                            <a:ahLst/>
                            <a:cxnLst/>
                            <a:rect l="0" t="0" r="0" b="0"/>
                            <a:pathLst>
                              <a:path w="9525" h="2269362">
                                <a:moveTo>
                                  <a:pt x="0" y="0"/>
                                </a:moveTo>
                                <a:lnTo>
                                  <a:pt x="9525" y="9525"/>
                                </a:lnTo>
                                <a:lnTo>
                                  <a:pt x="9525" y="2259837"/>
                                </a:lnTo>
                                <a:lnTo>
                                  <a:pt x="0" y="2269362"/>
                                </a:lnTo>
                                <a:lnTo>
                                  <a:pt x="0" y="0"/>
                                </a:lnTo>
                                <a:close/>
                              </a:path>
                            </a:pathLst>
                          </a:custGeom>
                          <a:ln w="0" cap="sq">
                            <a:miter lim="127000"/>
                          </a:ln>
                        </wps:spPr>
                        <wps:style>
                          <a:lnRef idx="0">
                            <a:srgbClr val="000000">
                              <a:alpha val="0"/>
                            </a:srgbClr>
                          </a:lnRef>
                          <a:fillRef idx="1">
                            <a:srgbClr val="000000"/>
                          </a:fillRef>
                          <a:effectRef idx="0">
                            <a:scrgbClr r="0" g="0" b="0"/>
                          </a:effectRef>
                          <a:fontRef idx="none"/>
                        </wps:style>
                        <wps:bodyPr/>
                      </wps:wsp>
                      <wps:wsp>
                        <wps:cNvPr id="43" name="Shape 43"/>
                        <wps:cNvSpPr/>
                        <wps:spPr>
                          <a:xfrm>
                            <a:off x="211963" y="643763"/>
                            <a:ext cx="4532884" cy="9525"/>
                          </a:xfrm>
                          <a:custGeom>
                            <a:avLst/>
                            <a:gdLst/>
                            <a:ahLst/>
                            <a:cxnLst/>
                            <a:rect l="0" t="0" r="0" b="0"/>
                            <a:pathLst>
                              <a:path w="4532884" h="9525">
                                <a:moveTo>
                                  <a:pt x="0" y="0"/>
                                </a:moveTo>
                                <a:lnTo>
                                  <a:pt x="4532884" y="0"/>
                                </a:lnTo>
                                <a:lnTo>
                                  <a:pt x="4523359" y="9525"/>
                                </a:lnTo>
                                <a:lnTo>
                                  <a:pt x="9525" y="9525"/>
                                </a:lnTo>
                                <a:lnTo>
                                  <a:pt x="0" y="0"/>
                                </a:lnTo>
                                <a:close/>
                              </a:path>
                            </a:pathLst>
                          </a:custGeom>
                          <a:ln w="0" cap="sq">
                            <a:miter lim="127000"/>
                          </a:ln>
                        </wps:spPr>
                        <wps:style>
                          <a:lnRef idx="0">
                            <a:srgbClr val="000000">
                              <a:alpha val="0"/>
                            </a:srgbClr>
                          </a:lnRef>
                          <a:fillRef idx="1">
                            <a:srgbClr val="000000"/>
                          </a:fillRef>
                          <a:effectRef idx="0">
                            <a:scrgbClr r="0" g="0" b="0"/>
                          </a:effectRef>
                          <a:fontRef idx="none"/>
                        </wps:style>
                        <wps:bodyPr/>
                      </wps:wsp>
                      <wps:wsp>
                        <wps:cNvPr id="44" name="Shape 44"/>
                        <wps:cNvSpPr/>
                        <wps:spPr>
                          <a:xfrm>
                            <a:off x="4735322" y="643763"/>
                            <a:ext cx="9525" cy="2269362"/>
                          </a:xfrm>
                          <a:custGeom>
                            <a:avLst/>
                            <a:gdLst/>
                            <a:ahLst/>
                            <a:cxnLst/>
                            <a:rect l="0" t="0" r="0" b="0"/>
                            <a:pathLst>
                              <a:path w="9525" h="2269362">
                                <a:moveTo>
                                  <a:pt x="9525" y="0"/>
                                </a:moveTo>
                                <a:lnTo>
                                  <a:pt x="9525" y="2269362"/>
                                </a:lnTo>
                                <a:lnTo>
                                  <a:pt x="0" y="2259837"/>
                                </a:lnTo>
                                <a:lnTo>
                                  <a:pt x="0" y="9525"/>
                                </a:lnTo>
                                <a:lnTo>
                                  <a:pt x="9525" y="0"/>
                                </a:lnTo>
                                <a:close/>
                              </a:path>
                            </a:pathLst>
                          </a:custGeom>
                          <a:ln w="0" cap="sq">
                            <a:miter lim="127000"/>
                          </a:ln>
                        </wps:spPr>
                        <wps:style>
                          <a:lnRef idx="0">
                            <a:srgbClr val="000000">
                              <a:alpha val="0"/>
                            </a:srgbClr>
                          </a:lnRef>
                          <a:fillRef idx="1">
                            <a:srgbClr val="000000"/>
                          </a:fillRef>
                          <a:effectRef idx="0">
                            <a:scrgbClr r="0" g="0" b="0"/>
                          </a:effectRef>
                          <a:fontRef idx="none"/>
                        </wps:style>
                        <wps:bodyPr/>
                      </wps:wsp>
                      <wps:wsp>
                        <wps:cNvPr id="45" name="Shape 45"/>
                        <wps:cNvSpPr/>
                        <wps:spPr>
                          <a:xfrm>
                            <a:off x="211963" y="2903601"/>
                            <a:ext cx="4532884" cy="9525"/>
                          </a:xfrm>
                          <a:custGeom>
                            <a:avLst/>
                            <a:gdLst/>
                            <a:ahLst/>
                            <a:cxnLst/>
                            <a:rect l="0" t="0" r="0" b="0"/>
                            <a:pathLst>
                              <a:path w="4532884" h="9525">
                                <a:moveTo>
                                  <a:pt x="9525" y="0"/>
                                </a:moveTo>
                                <a:lnTo>
                                  <a:pt x="4523359" y="0"/>
                                </a:lnTo>
                                <a:lnTo>
                                  <a:pt x="4532884" y="9525"/>
                                </a:lnTo>
                                <a:lnTo>
                                  <a:pt x="0" y="9525"/>
                                </a:lnTo>
                                <a:lnTo>
                                  <a:pt x="9525" y="0"/>
                                </a:lnTo>
                                <a:close/>
                              </a:path>
                            </a:pathLst>
                          </a:custGeom>
                          <a:ln w="0" cap="sq">
                            <a:miter lim="127000"/>
                          </a:ln>
                        </wps:spPr>
                        <wps:style>
                          <a:lnRef idx="0">
                            <a:srgbClr val="000000">
                              <a:alpha val="0"/>
                            </a:srgbClr>
                          </a:lnRef>
                          <a:fillRef idx="1">
                            <a:srgbClr val="000000"/>
                          </a:fillRef>
                          <a:effectRef idx="0">
                            <a:scrgbClr r="0" g="0" b="0"/>
                          </a:effectRef>
                          <a:fontRef idx="none"/>
                        </wps:style>
                        <wps:bodyPr/>
                      </wps:wsp>
                      <wps:wsp>
                        <wps:cNvPr id="46" name="Shape 46"/>
                        <wps:cNvSpPr/>
                        <wps:spPr>
                          <a:xfrm>
                            <a:off x="211963" y="643763"/>
                            <a:ext cx="9525" cy="2269362"/>
                          </a:xfrm>
                          <a:custGeom>
                            <a:avLst/>
                            <a:gdLst/>
                            <a:ahLst/>
                            <a:cxnLst/>
                            <a:rect l="0" t="0" r="0" b="0"/>
                            <a:pathLst>
                              <a:path w="9525" h="2269362">
                                <a:moveTo>
                                  <a:pt x="0" y="0"/>
                                </a:moveTo>
                                <a:lnTo>
                                  <a:pt x="9525" y="9525"/>
                                </a:lnTo>
                                <a:lnTo>
                                  <a:pt x="9525" y="2259837"/>
                                </a:lnTo>
                                <a:lnTo>
                                  <a:pt x="0" y="2269362"/>
                                </a:lnTo>
                                <a:lnTo>
                                  <a:pt x="0" y="0"/>
                                </a:lnTo>
                                <a:close/>
                              </a:path>
                            </a:pathLst>
                          </a:custGeom>
                          <a:ln w="0" cap="sq">
                            <a:miter lim="127000"/>
                          </a:ln>
                        </wps:spPr>
                        <wps:style>
                          <a:lnRef idx="0">
                            <a:srgbClr val="000000">
                              <a:alpha val="0"/>
                            </a:srgbClr>
                          </a:lnRef>
                          <a:fillRef idx="1">
                            <a:srgbClr val="000000"/>
                          </a:fillRef>
                          <a:effectRef idx="0">
                            <a:scrgbClr r="0" g="0" b="0"/>
                          </a:effectRef>
                          <a:fontRef idx="none"/>
                        </wps:style>
                        <wps:bodyPr/>
                      </wps:wsp>
                      <wps:wsp>
                        <wps:cNvPr id="47" name="Shape 47"/>
                        <wps:cNvSpPr/>
                        <wps:spPr>
                          <a:xfrm>
                            <a:off x="4735322" y="643763"/>
                            <a:ext cx="434340" cy="9525"/>
                          </a:xfrm>
                          <a:custGeom>
                            <a:avLst/>
                            <a:gdLst/>
                            <a:ahLst/>
                            <a:cxnLst/>
                            <a:rect l="0" t="0" r="0" b="0"/>
                            <a:pathLst>
                              <a:path w="434340" h="9525">
                                <a:moveTo>
                                  <a:pt x="0" y="0"/>
                                </a:moveTo>
                                <a:lnTo>
                                  <a:pt x="434340" y="0"/>
                                </a:lnTo>
                                <a:lnTo>
                                  <a:pt x="424815" y="9525"/>
                                </a:lnTo>
                                <a:lnTo>
                                  <a:pt x="9525" y="9525"/>
                                </a:lnTo>
                                <a:lnTo>
                                  <a:pt x="0" y="0"/>
                                </a:lnTo>
                                <a:close/>
                              </a:path>
                            </a:pathLst>
                          </a:custGeom>
                          <a:ln w="0" cap="sq">
                            <a:miter lim="127000"/>
                          </a:ln>
                        </wps:spPr>
                        <wps:style>
                          <a:lnRef idx="0">
                            <a:srgbClr val="000000">
                              <a:alpha val="0"/>
                            </a:srgbClr>
                          </a:lnRef>
                          <a:fillRef idx="1">
                            <a:srgbClr val="000000"/>
                          </a:fillRef>
                          <a:effectRef idx="0">
                            <a:scrgbClr r="0" g="0" b="0"/>
                          </a:effectRef>
                          <a:fontRef idx="none"/>
                        </wps:style>
                        <wps:bodyPr/>
                      </wps:wsp>
                      <wps:wsp>
                        <wps:cNvPr id="48" name="Shape 48"/>
                        <wps:cNvSpPr/>
                        <wps:spPr>
                          <a:xfrm>
                            <a:off x="5160137" y="643763"/>
                            <a:ext cx="9525" cy="2269362"/>
                          </a:xfrm>
                          <a:custGeom>
                            <a:avLst/>
                            <a:gdLst/>
                            <a:ahLst/>
                            <a:cxnLst/>
                            <a:rect l="0" t="0" r="0" b="0"/>
                            <a:pathLst>
                              <a:path w="9525" h="2269362">
                                <a:moveTo>
                                  <a:pt x="9525" y="0"/>
                                </a:moveTo>
                                <a:lnTo>
                                  <a:pt x="9525" y="2269362"/>
                                </a:lnTo>
                                <a:lnTo>
                                  <a:pt x="0" y="2259837"/>
                                </a:lnTo>
                                <a:lnTo>
                                  <a:pt x="0" y="9525"/>
                                </a:lnTo>
                                <a:lnTo>
                                  <a:pt x="9525" y="0"/>
                                </a:lnTo>
                                <a:close/>
                              </a:path>
                            </a:pathLst>
                          </a:custGeom>
                          <a:ln w="0" cap="sq">
                            <a:miter lim="127000"/>
                          </a:ln>
                        </wps:spPr>
                        <wps:style>
                          <a:lnRef idx="0">
                            <a:srgbClr val="000000">
                              <a:alpha val="0"/>
                            </a:srgbClr>
                          </a:lnRef>
                          <a:fillRef idx="1">
                            <a:srgbClr val="000000"/>
                          </a:fillRef>
                          <a:effectRef idx="0">
                            <a:scrgbClr r="0" g="0" b="0"/>
                          </a:effectRef>
                          <a:fontRef idx="none"/>
                        </wps:style>
                        <wps:bodyPr/>
                      </wps:wsp>
                      <wps:wsp>
                        <wps:cNvPr id="49" name="Shape 49"/>
                        <wps:cNvSpPr/>
                        <wps:spPr>
                          <a:xfrm>
                            <a:off x="4735322" y="2903601"/>
                            <a:ext cx="434340" cy="9525"/>
                          </a:xfrm>
                          <a:custGeom>
                            <a:avLst/>
                            <a:gdLst/>
                            <a:ahLst/>
                            <a:cxnLst/>
                            <a:rect l="0" t="0" r="0" b="0"/>
                            <a:pathLst>
                              <a:path w="434340" h="9525">
                                <a:moveTo>
                                  <a:pt x="9525" y="0"/>
                                </a:moveTo>
                                <a:lnTo>
                                  <a:pt x="424815" y="0"/>
                                </a:lnTo>
                                <a:lnTo>
                                  <a:pt x="434340" y="9525"/>
                                </a:lnTo>
                                <a:lnTo>
                                  <a:pt x="0" y="9525"/>
                                </a:lnTo>
                                <a:lnTo>
                                  <a:pt x="9525" y="0"/>
                                </a:lnTo>
                                <a:close/>
                              </a:path>
                            </a:pathLst>
                          </a:custGeom>
                          <a:ln w="0" cap="sq">
                            <a:miter lim="127000"/>
                          </a:ln>
                        </wps:spPr>
                        <wps:style>
                          <a:lnRef idx="0">
                            <a:srgbClr val="000000">
                              <a:alpha val="0"/>
                            </a:srgbClr>
                          </a:lnRef>
                          <a:fillRef idx="1">
                            <a:srgbClr val="000000"/>
                          </a:fillRef>
                          <a:effectRef idx="0">
                            <a:scrgbClr r="0" g="0" b="0"/>
                          </a:effectRef>
                          <a:fontRef idx="none"/>
                        </wps:style>
                        <wps:bodyPr/>
                      </wps:wsp>
                      <wps:wsp>
                        <wps:cNvPr id="50" name="Shape 50"/>
                        <wps:cNvSpPr/>
                        <wps:spPr>
                          <a:xfrm>
                            <a:off x="4735322" y="643763"/>
                            <a:ext cx="9525" cy="2269362"/>
                          </a:xfrm>
                          <a:custGeom>
                            <a:avLst/>
                            <a:gdLst/>
                            <a:ahLst/>
                            <a:cxnLst/>
                            <a:rect l="0" t="0" r="0" b="0"/>
                            <a:pathLst>
                              <a:path w="9525" h="2269362">
                                <a:moveTo>
                                  <a:pt x="0" y="0"/>
                                </a:moveTo>
                                <a:lnTo>
                                  <a:pt x="9525" y="9525"/>
                                </a:lnTo>
                                <a:lnTo>
                                  <a:pt x="9525" y="2259837"/>
                                </a:lnTo>
                                <a:lnTo>
                                  <a:pt x="0" y="2269362"/>
                                </a:lnTo>
                                <a:lnTo>
                                  <a:pt x="0" y="0"/>
                                </a:lnTo>
                                <a:close/>
                              </a:path>
                            </a:pathLst>
                          </a:custGeom>
                          <a:ln w="0" cap="sq">
                            <a:miter lim="127000"/>
                          </a:ln>
                        </wps:spPr>
                        <wps:style>
                          <a:lnRef idx="0">
                            <a:srgbClr val="000000">
                              <a:alpha val="0"/>
                            </a:srgbClr>
                          </a:lnRef>
                          <a:fillRef idx="1">
                            <a:srgbClr val="000000"/>
                          </a:fillRef>
                          <a:effectRef idx="0">
                            <a:scrgbClr r="0" g="0" b="0"/>
                          </a:effectRef>
                          <a:fontRef idx="none"/>
                        </wps:style>
                        <wps:bodyPr/>
                      </wps:wsp>
                      <wps:wsp>
                        <wps:cNvPr id="51" name="Shape 51"/>
                        <wps:cNvSpPr/>
                        <wps:spPr>
                          <a:xfrm>
                            <a:off x="5160137" y="643763"/>
                            <a:ext cx="404876" cy="9525"/>
                          </a:xfrm>
                          <a:custGeom>
                            <a:avLst/>
                            <a:gdLst/>
                            <a:ahLst/>
                            <a:cxnLst/>
                            <a:rect l="0" t="0" r="0" b="0"/>
                            <a:pathLst>
                              <a:path w="404876" h="9525">
                                <a:moveTo>
                                  <a:pt x="0" y="0"/>
                                </a:moveTo>
                                <a:lnTo>
                                  <a:pt x="404876" y="0"/>
                                </a:lnTo>
                                <a:lnTo>
                                  <a:pt x="395351" y="9525"/>
                                </a:lnTo>
                                <a:lnTo>
                                  <a:pt x="9525" y="9525"/>
                                </a:lnTo>
                                <a:lnTo>
                                  <a:pt x="0" y="0"/>
                                </a:lnTo>
                                <a:close/>
                              </a:path>
                            </a:pathLst>
                          </a:custGeom>
                          <a:ln w="0" cap="sq">
                            <a:miter lim="127000"/>
                          </a:ln>
                        </wps:spPr>
                        <wps:style>
                          <a:lnRef idx="0">
                            <a:srgbClr val="000000">
                              <a:alpha val="0"/>
                            </a:srgbClr>
                          </a:lnRef>
                          <a:fillRef idx="1">
                            <a:srgbClr val="000000"/>
                          </a:fillRef>
                          <a:effectRef idx="0">
                            <a:scrgbClr r="0" g="0" b="0"/>
                          </a:effectRef>
                          <a:fontRef idx="none"/>
                        </wps:style>
                        <wps:bodyPr/>
                      </wps:wsp>
                      <wps:wsp>
                        <wps:cNvPr id="52" name="Shape 52"/>
                        <wps:cNvSpPr/>
                        <wps:spPr>
                          <a:xfrm>
                            <a:off x="5555488" y="643763"/>
                            <a:ext cx="9525" cy="2269362"/>
                          </a:xfrm>
                          <a:custGeom>
                            <a:avLst/>
                            <a:gdLst/>
                            <a:ahLst/>
                            <a:cxnLst/>
                            <a:rect l="0" t="0" r="0" b="0"/>
                            <a:pathLst>
                              <a:path w="9525" h="2269362">
                                <a:moveTo>
                                  <a:pt x="9525" y="0"/>
                                </a:moveTo>
                                <a:lnTo>
                                  <a:pt x="9525" y="2269362"/>
                                </a:lnTo>
                                <a:lnTo>
                                  <a:pt x="0" y="2259837"/>
                                </a:lnTo>
                                <a:lnTo>
                                  <a:pt x="0" y="9525"/>
                                </a:lnTo>
                                <a:lnTo>
                                  <a:pt x="9525" y="0"/>
                                </a:lnTo>
                                <a:close/>
                              </a:path>
                            </a:pathLst>
                          </a:custGeom>
                          <a:ln w="0" cap="sq">
                            <a:miter lim="127000"/>
                          </a:ln>
                        </wps:spPr>
                        <wps:style>
                          <a:lnRef idx="0">
                            <a:srgbClr val="000000">
                              <a:alpha val="0"/>
                            </a:srgbClr>
                          </a:lnRef>
                          <a:fillRef idx="1">
                            <a:srgbClr val="000000"/>
                          </a:fillRef>
                          <a:effectRef idx="0">
                            <a:scrgbClr r="0" g="0" b="0"/>
                          </a:effectRef>
                          <a:fontRef idx="none"/>
                        </wps:style>
                        <wps:bodyPr/>
                      </wps:wsp>
                      <wps:wsp>
                        <wps:cNvPr id="53" name="Shape 53"/>
                        <wps:cNvSpPr/>
                        <wps:spPr>
                          <a:xfrm>
                            <a:off x="5160137" y="2903601"/>
                            <a:ext cx="404876" cy="9525"/>
                          </a:xfrm>
                          <a:custGeom>
                            <a:avLst/>
                            <a:gdLst/>
                            <a:ahLst/>
                            <a:cxnLst/>
                            <a:rect l="0" t="0" r="0" b="0"/>
                            <a:pathLst>
                              <a:path w="404876" h="9525">
                                <a:moveTo>
                                  <a:pt x="9525" y="0"/>
                                </a:moveTo>
                                <a:lnTo>
                                  <a:pt x="395351" y="0"/>
                                </a:lnTo>
                                <a:lnTo>
                                  <a:pt x="404876" y="9525"/>
                                </a:lnTo>
                                <a:lnTo>
                                  <a:pt x="0" y="9525"/>
                                </a:lnTo>
                                <a:lnTo>
                                  <a:pt x="9525" y="0"/>
                                </a:lnTo>
                                <a:close/>
                              </a:path>
                            </a:pathLst>
                          </a:custGeom>
                          <a:ln w="0" cap="sq">
                            <a:miter lim="127000"/>
                          </a:ln>
                        </wps:spPr>
                        <wps:style>
                          <a:lnRef idx="0">
                            <a:srgbClr val="000000">
                              <a:alpha val="0"/>
                            </a:srgbClr>
                          </a:lnRef>
                          <a:fillRef idx="1">
                            <a:srgbClr val="000000"/>
                          </a:fillRef>
                          <a:effectRef idx="0">
                            <a:scrgbClr r="0" g="0" b="0"/>
                          </a:effectRef>
                          <a:fontRef idx="none"/>
                        </wps:style>
                        <wps:bodyPr/>
                      </wps:wsp>
                      <wps:wsp>
                        <wps:cNvPr id="54" name="Shape 54"/>
                        <wps:cNvSpPr/>
                        <wps:spPr>
                          <a:xfrm>
                            <a:off x="5160137" y="643763"/>
                            <a:ext cx="9525" cy="2269362"/>
                          </a:xfrm>
                          <a:custGeom>
                            <a:avLst/>
                            <a:gdLst/>
                            <a:ahLst/>
                            <a:cxnLst/>
                            <a:rect l="0" t="0" r="0" b="0"/>
                            <a:pathLst>
                              <a:path w="9525" h="2269362">
                                <a:moveTo>
                                  <a:pt x="0" y="0"/>
                                </a:moveTo>
                                <a:lnTo>
                                  <a:pt x="9525" y="9525"/>
                                </a:lnTo>
                                <a:lnTo>
                                  <a:pt x="9525" y="2259837"/>
                                </a:lnTo>
                                <a:lnTo>
                                  <a:pt x="0" y="2269362"/>
                                </a:lnTo>
                                <a:lnTo>
                                  <a:pt x="0" y="0"/>
                                </a:lnTo>
                                <a:close/>
                              </a:path>
                            </a:pathLst>
                          </a:custGeom>
                          <a:ln w="0" cap="sq">
                            <a:miter lim="127000"/>
                          </a:ln>
                        </wps:spPr>
                        <wps:style>
                          <a:lnRef idx="0">
                            <a:srgbClr val="000000">
                              <a:alpha val="0"/>
                            </a:srgbClr>
                          </a:lnRef>
                          <a:fillRef idx="1">
                            <a:srgbClr val="000000"/>
                          </a:fillRef>
                          <a:effectRef idx="0">
                            <a:scrgbClr r="0" g="0" b="0"/>
                          </a:effectRef>
                          <a:fontRef idx="none"/>
                        </wps:style>
                        <wps:bodyPr/>
                      </wps:wsp>
                      <wps:wsp>
                        <wps:cNvPr id="55" name="Shape 55"/>
                        <wps:cNvSpPr/>
                        <wps:spPr>
                          <a:xfrm>
                            <a:off x="5555488" y="643763"/>
                            <a:ext cx="424307" cy="9525"/>
                          </a:xfrm>
                          <a:custGeom>
                            <a:avLst/>
                            <a:gdLst/>
                            <a:ahLst/>
                            <a:cxnLst/>
                            <a:rect l="0" t="0" r="0" b="0"/>
                            <a:pathLst>
                              <a:path w="424307" h="9525">
                                <a:moveTo>
                                  <a:pt x="0" y="0"/>
                                </a:moveTo>
                                <a:lnTo>
                                  <a:pt x="424307" y="0"/>
                                </a:lnTo>
                                <a:lnTo>
                                  <a:pt x="414782" y="9525"/>
                                </a:lnTo>
                                <a:lnTo>
                                  <a:pt x="9525" y="9525"/>
                                </a:lnTo>
                                <a:lnTo>
                                  <a:pt x="0" y="0"/>
                                </a:lnTo>
                                <a:close/>
                              </a:path>
                            </a:pathLst>
                          </a:custGeom>
                          <a:ln w="0" cap="sq">
                            <a:miter lim="127000"/>
                          </a:ln>
                        </wps:spPr>
                        <wps:style>
                          <a:lnRef idx="0">
                            <a:srgbClr val="000000">
                              <a:alpha val="0"/>
                            </a:srgbClr>
                          </a:lnRef>
                          <a:fillRef idx="1">
                            <a:srgbClr val="000000"/>
                          </a:fillRef>
                          <a:effectRef idx="0">
                            <a:scrgbClr r="0" g="0" b="0"/>
                          </a:effectRef>
                          <a:fontRef idx="none"/>
                        </wps:style>
                        <wps:bodyPr/>
                      </wps:wsp>
                      <wps:wsp>
                        <wps:cNvPr id="56" name="Shape 56"/>
                        <wps:cNvSpPr/>
                        <wps:spPr>
                          <a:xfrm>
                            <a:off x="5970270" y="643763"/>
                            <a:ext cx="9525" cy="2269362"/>
                          </a:xfrm>
                          <a:custGeom>
                            <a:avLst/>
                            <a:gdLst/>
                            <a:ahLst/>
                            <a:cxnLst/>
                            <a:rect l="0" t="0" r="0" b="0"/>
                            <a:pathLst>
                              <a:path w="9525" h="2269362">
                                <a:moveTo>
                                  <a:pt x="9525" y="0"/>
                                </a:moveTo>
                                <a:lnTo>
                                  <a:pt x="9525" y="2269362"/>
                                </a:lnTo>
                                <a:lnTo>
                                  <a:pt x="0" y="2259837"/>
                                </a:lnTo>
                                <a:lnTo>
                                  <a:pt x="0" y="9525"/>
                                </a:lnTo>
                                <a:lnTo>
                                  <a:pt x="9525" y="0"/>
                                </a:lnTo>
                                <a:close/>
                              </a:path>
                            </a:pathLst>
                          </a:custGeom>
                          <a:ln w="0" cap="sq">
                            <a:miter lim="127000"/>
                          </a:ln>
                        </wps:spPr>
                        <wps:style>
                          <a:lnRef idx="0">
                            <a:srgbClr val="000000">
                              <a:alpha val="0"/>
                            </a:srgbClr>
                          </a:lnRef>
                          <a:fillRef idx="1">
                            <a:srgbClr val="000000"/>
                          </a:fillRef>
                          <a:effectRef idx="0">
                            <a:scrgbClr r="0" g="0" b="0"/>
                          </a:effectRef>
                          <a:fontRef idx="none"/>
                        </wps:style>
                        <wps:bodyPr/>
                      </wps:wsp>
                      <wps:wsp>
                        <wps:cNvPr id="57" name="Shape 57"/>
                        <wps:cNvSpPr/>
                        <wps:spPr>
                          <a:xfrm>
                            <a:off x="5555488" y="2903601"/>
                            <a:ext cx="424307" cy="9525"/>
                          </a:xfrm>
                          <a:custGeom>
                            <a:avLst/>
                            <a:gdLst/>
                            <a:ahLst/>
                            <a:cxnLst/>
                            <a:rect l="0" t="0" r="0" b="0"/>
                            <a:pathLst>
                              <a:path w="424307" h="9525">
                                <a:moveTo>
                                  <a:pt x="9525" y="0"/>
                                </a:moveTo>
                                <a:lnTo>
                                  <a:pt x="414782" y="0"/>
                                </a:lnTo>
                                <a:lnTo>
                                  <a:pt x="424307" y="9525"/>
                                </a:lnTo>
                                <a:lnTo>
                                  <a:pt x="0" y="9525"/>
                                </a:lnTo>
                                <a:lnTo>
                                  <a:pt x="9525" y="0"/>
                                </a:lnTo>
                                <a:close/>
                              </a:path>
                            </a:pathLst>
                          </a:custGeom>
                          <a:ln w="0" cap="sq">
                            <a:miter lim="127000"/>
                          </a:ln>
                        </wps:spPr>
                        <wps:style>
                          <a:lnRef idx="0">
                            <a:srgbClr val="000000">
                              <a:alpha val="0"/>
                            </a:srgbClr>
                          </a:lnRef>
                          <a:fillRef idx="1">
                            <a:srgbClr val="000000"/>
                          </a:fillRef>
                          <a:effectRef idx="0">
                            <a:scrgbClr r="0" g="0" b="0"/>
                          </a:effectRef>
                          <a:fontRef idx="none"/>
                        </wps:style>
                        <wps:bodyPr/>
                      </wps:wsp>
                      <wps:wsp>
                        <wps:cNvPr id="58" name="Shape 58"/>
                        <wps:cNvSpPr/>
                        <wps:spPr>
                          <a:xfrm>
                            <a:off x="5555488" y="643763"/>
                            <a:ext cx="9525" cy="2269362"/>
                          </a:xfrm>
                          <a:custGeom>
                            <a:avLst/>
                            <a:gdLst/>
                            <a:ahLst/>
                            <a:cxnLst/>
                            <a:rect l="0" t="0" r="0" b="0"/>
                            <a:pathLst>
                              <a:path w="9525" h="2269362">
                                <a:moveTo>
                                  <a:pt x="0" y="0"/>
                                </a:moveTo>
                                <a:lnTo>
                                  <a:pt x="9525" y="9525"/>
                                </a:lnTo>
                                <a:lnTo>
                                  <a:pt x="9525" y="2259837"/>
                                </a:lnTo>
                                <a:lnTo>
                                  <a:pt x="0" y="2269362"/>
                                </a:lnTo>
                                <a:lnTo>
                                  <a:pt x="0" y="0"/>
                                </a:lnTo>
                                <a:close/>
                              </a:path>
                            </a:pathLst>
                          </a:custGeom>
                          <a:ln w="0" cap="sq">
                            <a:miter lim="127000"/>
                          </a:ln>
                        </wps:spPr>
                        <wps:style>
                          <a:lnRef idx="0">
                            <a:srgbClr val="000000">
                              <a:alpha val="0"/>
                            </a:srgbClr>
                          </a:lnRef>
                          <a:fillRef idx="1">
                            <a:srgbClr val="000000"/>
                          </a:fillRef>
                          <a:effectRef idx="0">
                            <a:scrgbClr r="0" g="0" b="0"/>
                          </a:effectRef>
                          <a:fontRef idx="none"/>
                        </wps:style>
                        <wps:bodyPr/>
                      </wps:wsp>
                      <wps:wsp>
                        <wps:cNvPr id="59" name="Shape 59"/>
                        <wps:cNvSpPr/>
                        <wps:spPr>
                          <a:xfrm>
                            <a:off x="5970270" y="643763"/>
                            <a:ext cx="439166" cy="9525"/>
                          </a:xfrm>
                          <a:custGeom>
                            <a:avLst/>
                            <a:gdLst/>
                            <a:ahLst/>
                            <a:cxnLst/>
                            <a:rect l="0" t="0" r="0" b="0"/>
                            <a:pathLst>
                              <a:path w="439166" h="9525">
                                <a:moveTo>
                                  <a:pt x="0" y="0"/>
                                </a:moveTo>
                                <a:lnTo>
                                  <a:pt x="439166" y="0"/>
                                </a:lnTo>
                                <a:lnTo>
                                  <a:pt x="429641" y="9525"/>
                                </a:lnTo>
                                <a:lnTo>
                                  <a:pt x="9525" y="9525"/>
                                </a:lnTo>
                                <a:lnTo>
                                  <a:pt x="0" y="0"/>
                                </a:lnTo>
                                <a:close/>
                              </a:path>
                            </a:pathLst>
                          </a:custGeom>
                          <a:ln w="0" cap="sq">
                            <a:miter lim="127000"/>
                          </a:ln>
                        </wps:spPr>
                        <wps:style>
                          <a:lnRef idx="0">
                            <a:srgbClr val="000000">
                              <a:alpha val="0"/>
                            </a:srgbClr>
                          </a:lnRef>
                          <a:fillRef idx="1">
                            <a:srgbClr val="000000"/>
                          </a:fillRef>
                          <a:effectRef idx="0">
                            <a:scrgbClr r="0" g="0" b="0"/>
                          </a:effectRef>
                          <a:fontRef idx="none"/>
                        </wps:style>
                        <wps:bodyPr/>
                      </wps:wsp>
                      <wps:wsp>
                        <wps:cNvPr id="60" name="Shape 60"/>
                        <wps:cNvSpPr/>
                        <wps:spPr>
                          <a:xfrm>
                            <a:off x="6399911" y="643763"/>
                            <a:ext cx="9525" cy="2269362"/>
                          </a:xfrm>
                          <a:custGeom>
                            <a:avLst/>
                            <a:gdLst/>
                            <a:ahLst/>
                            <a:cxnLst/>
                            <a:rect l="0" t="0" r="0" b="0"/>
                            <a:pathLst>
                              <a:path w="9525" h="2269362">
                                <a:moveTo>
                                  <a:pt x="9525" y="0"/>
                                </a:moveTo>
                                <a:lnTo>
                                  <a:pt x="9525" y="2269362"/>
                                </a:lnTo>
                                <a:lnTo>
                                  <a:pt x="0" y="2259837"/>
                                </a:lnTo>
                                <a:lnTo>
                                  <a:pt x="0" y="9525"/>
                                </a:lnTo>
                                <a:lnTo>
                                  <a:pt x="9525" y="0"/>
                                </a:lnTo>
                                <a:close/>
                              </a:path>
                            </a:pathLst>
                          </a:custGeom>
                          <a:ln w="0" cap="sq">
                            <a:miter lim="127000"/>
                          </a:ln>
                        </wps:spPr>
                        <wps:style>
                          <a:lnRef idx="0">
                            <a:srgbClr val="000000">
                              <a:alpha val="0"/>
                            </a:srgbClr>
                          </a:lnRef>
                          <a:fillRef idx="1">
                            <a:srgbClr val="000000"/>
                          </a:fillRef>
                          <a:effectRef idx="0">
                            <a:scrgbClr r="0" g="0" b="0"/>
                          </a:effectRef>
                          <a:fontRef idx="none"/>
                        </wps:style>
                        <wps:bodyPr/>
                      </wps:wsp>
                      <wps:wsp>
                        <wps:cNvPr id="61" name="Shape 61"/>
                        <wps:cNvSpPr/>
                        <wps:spPr>
                          <a:xfrm>
                            <a:off x="5970270" y="2903601"/>
                            <a:ext cx="439166" cy="9525"/>
                          </a:xfrm>
                          <a:custGeom>
                            <a:avLst/>
                            <a:gdLst/>
                            <a:ahLst/>
                            <a:cxnLst/>
                            <a:rect l="0" t="0" r="0" b="0"/>
                            <a:pathLst>
                              <a:path w="439166" h="9525">
                                <a:moveTo>
                                  <a:pt x="9525" y="0"/>
                                </a:moveTo>
                                <a:lnTo>
                                  <a:pt x="429641" y="0"/>
                                </a:lnTo>
                                <a:lnTo>
                                  <a:pt x="439166" y="9525"/>
                                </a:lnTo>
                                <a:lnTo>
                                  <a:pt x="0" y="9525"/>
                                </a:lnTo>
                                <a:lnTo>
                                  <a:pt x="9525" y="0"/>
                                </a:lnTo>
                                <a:close/>
                              </a:path>
                            </a:pathLst>
                          </a:custGeom>
                          <a:ln w="0" cap="sq">
                            <a:miter lim="127000"/>
                          </a:ln>
                        </wps:spPr>
                        <wps:style>
                          <a:lnRef idx="0">
                            <a:srgbClr val="000000">
                              <a:alpha val="0"/>
                            </a:srgbClr>
                          </a:lnRef>
                          <a:fillRef idx="1">
                            <a:srgbClr val="000000"/>
                          </a:fillRef>
                          <a:effectRef idx="0">
                            <a:scrgbClr r="0" g="0" b="0"/>
                          </a:effectRef>
                          <a:fontRef idx="none"/>
                        </wps:style>
                        <wps:bodyPr/>
                      </wps:wsp>
                      <wps:wsp>
                        <wps:cNvPr id="62" name="Shape 62"/>
                        <wps:cNvSpPr/>
                        <wps:spPr>
                          <a:xfrm>
                            <a:off x="5970270" y="643763"/>
                            <a:ext cx="9525" cy="2269362"/>
                          </a:xfrm>
                          <a:custGeom>
                            <a:avLst/>
                            <a:gdLst/>
                            <a:ahLst/>
                            <a:cxnLst/>
                            <a:rect l="0" t="0" r="0" b="0"/>
                            <a:pathLst>
                              <a:path w="9525" h="2269362">
                                <a:moveTo>
                                  <a:pt x="0" y="0"/>
                                </a:moveTo>
                                <a:lnTo>
                                  <a:pt x="9525" y="9525"/>
                                </a:lnTo>
                                <a:lnTo>
                                  <a:pt x="9525" y="2259837"/>
                                </a:lnTo>
                                <a:lnTo>
                                  <a:pt x="0" y="2269362"/>
                                </a:lnTo>
                                <a:lnTo>
                                  <a:pt x="0" y="0"/>
                                </a:lnTo>
                                <a:close/>
                              </a:path>
                            </a:pathLst>
                          </a:custGeom>
                          <a:ln w="0" cap="sq">
                            <a:miter lim="127000"/>
                          </a:ln>
                        </wps:spPr>
                        <wps:style>
                          <a:lnRef idx="0">
                            <a:srgbClr val="000000">
                              <a:alpha val="0"/>
                            </a:srgbClr>
                          </a:lnRef>
                          <a:fillRef idx="1">
                            <a:srgbClr val="000000"/>
                          </a:fillRef>
                          <a:effectRef idx="0">
                            <a:scrgbClr r="0" g="0" b="0"/>
                          </a:effectRef>
                          <a:fontRef idx="none"/>
                        </wps:style>
                        <wps:bodyPr/>
                      </wps:wsp>
                      <wps:wsp>
                        <wps:cNvPr id="63" name="Shape 63"/>
                        <wps:cNvSpPr/>
                        <wps:spPr>
                          <a:xfrm>
                            <a:off x="6399911" y="643763"/>
                            <a:ext cx="657225" cy="9525"/>
                          </a:xfrm>
                          <a:custGeom>
                            <a:avLst/>
                            <a:gdLst/>
                            <a:ahLst/>
                            <a:cxnLst/>
                            <a:rect l="0" t="0" r="0" b="0"/>
                            <a:pathLst>
                              <a:path w="657225" h="9525">
                                <a:moveTo>
                                  <a:pt x="0" y="0"/>
                                </a:moveTo>
                                <a:lnTo>
                                  <a:pt x="657225" y="0"/>
                                </a:lnTo>
                                <a:lnTo>
                                  <a:pt x="647700" y="9525"/>
                                </a:lnTo>
                                <a:lnTo>
                                  <a:pt x="9525" y="9525"/>
                                </a:lnTo>
                                <a:lnTo>
                                  <a:pt x="0" y="0"/>
                                </a:lnTo>
                                <a:close/>
                              </a:path>
                            </a:pathLst>
                          </a:custGeom>
                          <a:ln w="0" cap="sq">
                            <a:miter lim="127000"/>
                          </a:ln>
                        </wps:spPr>
                        <wps:style>
                          <a:lnRef idx="0">
                            <a:srgbClr val="000000">
                              <a:alpha val="0"/>
                            </a:srgbClr>
                          </a:lnRef>
                          <a:fillRef idx="1">
                            <a:srgbClr val="000000"/>
                          </a:fillRef>
                          <a:effectRef idx="0">
                            <a:scrgbClr r="0" g="0" b="0"/>
                          </a:effectRef>
                          <a:fontRef idx="none"/>
                        </wps:style>
                        <wps:bodyPr/>
                      </wps:wsp>
                      <wps:wsp>
                        <wps:cNvPr id="64" name="Shape 64"/>
                        <wps:cNvSpPr/>
                        <wps:spPr>
                          <a:xfrm>
                            <a:off x="7047611" y="643763"/>
                            <a:ext cx="9525" cy="2269362"/>
                          </a:xfrm>
                          <a:custGeom>
                            <a:avLst/>
                            <a:gdLst/>
                            <a:ahLst/>
                            <a:cxnLst/>
                            <a:rect l="0" t="0" r="0" b="0"/>
                            <a:pathLst>
                              <a:path w="9525" h="2269362">
                                <a:moveTo>
                                  <a:pt x="9525" y="0"/>
                                </a:moveTo>
                                <a:lnTo>
                                  <a:pt x="9525" y="2269362"/>
                                </a:lnTo>
                                <a:lnTo>
                                  <a:pt x="0" y="2259837"/>
                                </a:lnTo>
                                <a:lnTo>
                                  <a:pt x="0" y="9525"/>
                                </a:lnTo>
                                <a:lnTo>
                                  <a:pt x="9525" y="0"/>
                                </a:lnTo>
                                <a:close/>
                              </a:path>
                            </a:pathLst>
                          </a:custGeom>
                          <a:ln w="0" cap="sq">
                            <a:miter lim="127000"/>
                          </a:ln>
                        </wps:spPr>
                        <wps:style>
                          <a:lnRef idx="0">
                            <a:srgbClr val="000000">
                              <a:alpha val="0"/>
                            </a:srgbClr>
                          </a:lnRef>
                          <a:fillRef idx="1">
                            <a:srgbClr val="000000"/>
                          </a:fillRef>
                          <a:effectRef idx="0">
                            <a:scrgbClr r="0" g="0" b="0"/>
                          </a:effectRef>
                          <a:fontRef idx="none"/>
                        </wps:style>
                        <wps:bodyPr/>
                      </wps:wsp>
                      <wps:wsp>
                        <wps:cNvPr id="65" name="Shape 65"/>
                        <wps:cNvSpPr/>
                        <wps:spPr>
                          <a:xfrm>
                            <a:off x="6399911" y="2903601"/>
                            <a:ext cx="657225" cy="9525"/>
                          </a:xfrm>
                          <a:custGeom>
                            <a:avLst/>
                            <a:gdLst/>
                            <a:ahLst/>
                            <a:cxnLst/>
                            <a:rect l="0" t="0" r="0" b="0"/>
                            <a:pathLst>
                              <a:path w="657225" h="9525">
                                <a:moveTo>
                                  <a:pt x="9525" y="0"/>
                                </a:moveTo>
                                <a:lnTo>
                                  <a:pt x="647700" y="0"/>
                                </a:lnTo>
                                <a:lnTo>
                                  <a:pt x="657225" y="9525"/>
                                </a:lnTo>
                                <a:lnTo>
                                  <a:pt x="0" y="9525"/>
                                </a:lnTo>
                                <a:lnTo>
                                  <a:pt x="9525" y="0"/>
                                </a:lnTo>
                                <a:close/>
                              </a:path>
                            </a:pathLst>
                          </a:custGeom>
                          <a:ln w="0" cap="sq">
                            <a:miter lim="127000"/>
                          </a:ln>
                        </wps:spPr>
                        <wps:style>
                          <a:lnRef idx="0">
                            <a:srgbClr val="000000">
                              <a:alpha val="0"/>
                            </a:srgbClr>
                          </a:lnRef>
                          <a:fillRef idx="1">
                            <a:srgbClr val="000000"/>
                          </a:fillRef>
                          <a:effectRef idx="0">
                            <a:scrgbClr r="0" g="0" b="0"/>
                          </a:effectRef>
                          <a:fontRef idx="none"/>
                        </wps:style>
                        <wps:bodyPr/>
                      </wps:wsp>
                      <wps:wsp>
                        <wps:cNvPr id="66" name="Shape 66"/>
                        <wps:cNvSpPr/>
                        <wps:spPr>
                          <a:xfrm>
                            <a:off x="6399911" y="643763"/>
                            <a:ext cx="9525" cy="2269362"/>
                          </a:xfrm>
                          <a:custGeom>
                            <a:avLst/>
                            <a:gdLst/>
                            <a:ahLst/>
                            <a:cxnLst/>
                            <a:rect l="0" t="0" r="0" b="0"/>
                            <a:pathLst>
                              <a:path w="9525" h="2269362">
                                <a:moveTo>
                                  <a:pt x="0" y="0"/>
                                </a:moveTo>
                                <a:lnTo>
                                  <a:pt x="9525" y="9525"/>
                                </a:lnTo>
                                <a:lnTo>
                                  <a:pt x="9525" y="2259837"/>
                                </a:lnTo>
                                <a:lnTo>
                                  <a:pt x="0" y="2269362"/>
                                </a:lnTo>
                                <a:lnTo>
                                  <a:pt x="0" y="0"/>
                                </a:lnTo>
                                <a:close/>
                              </a:path>
                            </a:pathLst>
                          </a:custGeom>
                          <a:ln w="0" cap="sq">
                            <a:miter lim="127000"/>
                          </a:ln>
                        </wps:spPr>
                        <wps:style>
                          <a:lnRef idx="0">
                            <a:srgbClr val="000000">
                              <a:alpha val="0"/>
                            </a:srgbClr>
                          </a:lnRef>
                          <a:fillRef idx="1">
                            <a:srgbClr val="000000"/>
                          </a:fillRef>
                          <a:effectRef idx="0">
                            <a:scrgbClr r="0" g="0" b="0"/>
                          </a:effectRef>
                          <a:fontRef idx="none"/>
                        </wps:style>
                        <wps:bodyPr/>
                      </wps:wsp>
                      <wps:wsp>
                        <wps:cNvPr id="102" name="Rectangle 102"/>
                        <wps:cNvSpPr/>
                        <wps:spPr>
                          <a:xfrm>
                            <a:off x="19050" y="220304"/>
                            <a:ext cx="243443" cy="109526"/>
                          </a:xfrm>
                          <a:prstGeom prst="rect">
                            <a:avLst/>
                          </a:prstGeom>
                          <a:ln>
                            <a:noFill/>
                          </a:ln>
                        </wps:spPr>
                        <wps:txbx>
                          <w:txbxContent>
                            <w:p w14:paraId="3A739BB2" w14:textId="77777777" w:rsidR="00F20451" w:rsidRDefault="00F20451" w:rsidP="00F20451">
                              <w:r>
                                <w:rPr>
                                  <w:rFonts w:ascii="Arial" w:eastAsia="Arial" w:hAnsi="Arial" w:cs="Arial"/>
                                  <w:b/>
                                  <w:sz w:val="14"/>
                                </w:rPr>
                                <w:t>Item</w:t>
                              </w:r>
                            </w:p>
                          </w:txbxContent>
                        </wps:txbx>
                        <wps:bodyPr horzOverflow="overflow" vert="horz" lIns="0" tIns="0" rIns="0" bIns="0" rtlCol="0">
                          <a:noAutofit/>
                        </wps:bodyPr>
                      </wps:wsp>
                      <wps:wsp>
                        <wps:cNvPr id="103" name="Rectangle 103"/>
                        <wps:cNvSpPr/>
                        <wps:spPr>
                          <a:xfrm>
                            <a:off x="231013" y="220304"/>
                            <a:ext cx="789768" cy="109526"/>
                          </a:xfrm>
                          <a:prstGeom prst="rect">
                            <a:avLst/>
                          </a:prstGeom>
                          <a:ln>
                            <a:noFill/>
                          </a:ln>
                        </wps:spPr>
                        <wps:txbx>
                          <w:txbxContent>
                            <w:p w14:paraId="35D6529A" w14:textId="77777777" w:rsidR="00F20451" w:rsidRDefault="00F20451" w:rsidP="00F20451">
                              <w:r>
                                <w:rPr>
                                  <w:rFonts w:ascii="Arial" w:eastAsia="Arial" w:hAnsi="Arial" w:cs="Arial"/>
                                  <w:b/>
                                  <w:sz w:val="14"/>
                                </w:rPr>
                                <w:t>Especificação</w:t>
                              </w:r>
                            </w:p>
                          </w:txbxContent>
                        </wps:txbx>
                        <wps:bodyPr horzOverflow="overflow" vert="horz" lIns="0" tIns="0" rIns="0" bIns="0" rtlCol="0">
                          <a:noAutofit/>
                        </wps:bodyPr>
                      </wps:wsp>
                      <wps:wsp>
                        <wps:cNvPr id="104" name="Rectangle 104"/>
                        <wps:cNvSpPr/>
                        <wps:spPr>
                          <a:xfrm>
                            <a:off x="4754372" y="220304"/>
                            <a:ext cx="407790" cy="109526"/>
                          </a:xfrm>
                          <a:prstGeom prst="rect">
                            <a:avLst/>
                          </a:prstGeom>
                          <a:ln>
                            <a:noFill/>
                          </a:ln>
                        </wps:spPr>
                        <wps:txbx>
                          <w:txbxContent>
                            <w:p w14:paraId="78D4E9FB" w14:textId="77777777" w:rsidR="00F20451" w:rsidRDefault="00F20451" w:rsidP="00F20451">
                              <w:r>
                                <w:rPr>
                                  <w:rFonts w:ascii="Arial" w:eastAsia="Arial" w:hAnsi="Arial" w:cs="Arial"/>
                                  <w:b/>
                                  <w:sz w:val="14"/>
                                </w:rPr>
                                <w:t>Código</w:t>
                              </w:r>
                            </w:p>
                          </w:txbxContent>
                        </wps:txbx>
                        <wps:bodyPr horzOverflow="overflow" vert="horz" lIns="0" tIns="0" rIns="0" bIns="0" rtlCol="0">
                          <a:noAutofit/>
                        </wps:bodyPr>
                      </wps:wsp>
                      <wps:wsp>
                        <wps:cNvPr id="105" name="Rectangle 105"/>
                        <wps:cNvSpPr/>
                        <wps:spPr>
                          <a:xfrm>
                            <a:off x="5179187" y="220304"/>
                            <a:ext cx="263098" cy="109526"/>
                          </a:xfrm>
                          <a:prstGeom prst="rect">
                            <a:avLst/>
                          </a:prstGeom>
                          <a:ln>
                            <a:noFill/>
                          </a:ln>
                        </wps:spPr>
                        <wps:txbx>
                          <w:txbxContent>
                            <w:p w14:paraId="666F9C89" w14:textId="77777777" w:rsidR="00F20451" w:rsidRDefault="00F20451" w:rsidP="00F20451">
                              <w:r>
                                <w:rPr>
                                  <w:rFonts w:ascii="Arial" w:eastAsia="Arial" w:hAnsi="Arial" w:cs="Arial"/>
                                  <w:b/>
                                  <w:sz w:val="14"/>
                                </w:rPr>
                                <w:t xml:space="preserve">Cód </w:t>
                              </w:r>
                            </w:p>
                          </w:txbxContent>
                        </wps:txbx>
                        <wps:bodyPr horzOverflow="overflow" vert="horz" lIns="0" tIns="0" rIns="0" bIns="0" rtlCol="0">
                          <a:noAutofit/>
                        </wps:bodyPr>
                      </wps:wsp>
                      <wps:wsp>
                        <wps:cNvPr id="106" name="Rectangle 106"/>
                        <wps:cNvSpPr/>
                        <wps:spPr>
                          <a:xfrm>
                            <a:off x="5179187" y="399883"/>
                            <a:ext cx="487003" cy="109526"/>
                          </a:xfrm>
                          <a:prstGeom prst="rect">
                            <a:avLst/>
                          </a:prstGeom>
                          <a:ln>
                            <a:noFill/>
                          </a:ln>
                        </wps:spPr>
                        <wps:txbx>
                          <w:txbxContent>
                            <w:p w14:paraId="277CD189" w14:textId="77777777" w:rsidR="00F20451" w:rsidRDefault="00F20451" w:rsidP="00F20451">
                              <w:r>
                                <w:rPr>
                                  <w:rFonts w:ascii="Arial" w:eastAsia="Arial" w:hAnsi="Arial" w:cs="Arial"/>
                                  <w:b/>
                                  <w:sz w:val="14"/>
                                </w:rPr>
                                <w:t>Siafisico</w:t>
                              </w:r>
                            </w:p>
                          </w:txbxContent>
                        </wps:txbx>
                        <wps:bodyPr horzOverflow="overflow" vert="horz" lIns="0" tIns="0" rIns="0" bIns="0" rtlCol="0">
                          <a:noAutofit/>
                        </wps:bodyPr>
                      </wps:wsp>
                      <wps:wsp>
                        <wps:cNvPr id="107" name="Rectangle 107"/>
                        <wps:cNvSpPr/>
                        <wps:spPr>
                          <a:xfrm>
                            <a:off x="5574538" y="220304"/>
                            <a:ext cx="512934" cy="109526"/>
                          </a:xfrm>
                          <a:prstGeom prst="rect">
                            <a:avLst/>
                          </a:prstGeom>
                          <a:ln>
                            <a:noFill/>
                          </a:ln>
                        </wps:spPr>
                        <wps:txbx>
                          <w:txbxContent>
                            <w:p w14:paraId="00CC6A4A" w14:textId="77777777" w:rsidR="00F20451" w:rsidRDefault="00F20451" w:rsidP="00F20451">
                              <w:r>
                                <w:rPr>
                                  <w:rFonts w:ascii="Arial" w:eastAsia="Arial" w:hAnsi="Arial" w:cs="Arial"/>
                                  <w:b/>
                                  <w:sz w:val="14"/>
                                </w:rPr>
                                <w:t>CADMAT</w:t>
                              </w:r>
                            </w:p>
                          </w:txbxContent>
                        </wps:txbx>
                        <wps:bodyPr horzOverflow="overflow" vert="horz" lIns="0" tIns="0" rIns="0" bIns="0" rtlCol="0">
                          <a:noAutofit/>
                        </wps:bodyPr>
                      </wps:wsp>
                      <wps:wsp>
                        <wps:cNvPr id="108" name="Rectangle 108"/>
                        <wps:cNvSpPr/>
                        <wps:spPr>
                          <a:xfrm>
                            <a:off x="5989320" y="220304"/>
                            <a:ext cx="500028" cy="109526"/>
                          </a:xfrm>
                          <a:prstGeom prst="rect">
                            <a:avLst/>
                          </a:prstGeom>
                          <a:ln>
                            <a:noFill/>
                          </a:ln>
                        </wps:spPr>
                        <wps:txbx>
                          <w:txbxContent>
                            <w:p w14:paraId="1931D17B" w14:textId="77777777" w:rsidR="00F20451" w:rsidRDefault="00F20451" w:rsidP="00F20451">
                              <w:r>
                                <w:rPr>
                                  <w:rFonts w:ascii="Arial" w:eastAsia="Arial" w:hAnsi="Arial" w:cs="Arial"/>
                                  <w:b/>
                                  <w:sz w:val="14"/>
                                </w:rPr>
                                <w:t xml:space="preserve">Unid. de </w:t>
                              </w:r>
                            </w:p>
                          </w:txbxContent>
                        </wps:txbx>
                        <wps:bodyPr horzOverflow="overflow" vert="horz" lIns="0" tIns="0" rIns="0" bIns="0" rtlCol="0">
                          <a:noAutofit/>
                        </wps:bodyPr>
                      </wps:wsp>
                      <wps:wsp>
                        <wps:cNvPr id="109" name="Rectangle 109"/>
                        <wps:cNvSpPr/>
                        <wps:spPr>
                          <a:xfrm>
                            <a:off x="5989320" y="399883"/>
                            <a:ext cx="407908" cy="109526"/>
                          </a:xfrm>
                          <a:prstGeom prst="rect">
                            <a:avLst/>
                          </a:prstGeom>
                          <a:ln>
                            <a:noFill/>
                          </a:ln>
                        </wps:spPr>
                        <wps:txbx>
                          <w:txbxContent>
                            <w:p w14:paraId="14007C40" w14:textId="77777777" w:rsidR="00F20451" w:rsidRDefault="00F20451" w:rsidP="00F20451">
                              <w:r>
                                <w:rPr>
                                  <w:rFonts w:ascii="Arial" w:eastAsia="Arial" w:hAnsi="Arial" w:cs="Arial"/>
                                  <w:b/>
                                  <w:sz w:val="14"/>
                                </w:rPr>
                                <w:t>Medida</w:t>
                              </w:r>
                            </w:p>
                          </w:txbxContent>
                        </wps:txbx>
                        <wps:bodyPr horzOverflow="overflow" vert="horz" lIns="0" tIns="0" rIns="0" bIns="0" rtlCol="0">
                          <a:noAutofit/>
                        </wps:bodyPr>
                      </wps:wsp>
                      <wps:wsp>
                        <wps:cNvPr id="110" name="Rectangle 110"/>
                        <wps:cNvSpPr/>
                        <wps:spPr>
                          <a:xfrm>
                            <a:off x="6418961" y="220304"/>
                            <a:ext cx="651351" cy="109526"/>
                          </a:xfrm>
                          <a:prstGeom prst="rect">
                            <a:avLst/>
                          </a:prstGeom>
                          <a:ln>
                            <a:noFill/>
                          </a:ln>
                        </wps:spPr>
                        <wps:txbx>
                          <w:txbxContent>
                            <w:p w14:paraId="54BAD449" w14:textId="77777777" w:rsidR="00F20451" w:rsidRDefault="00F20451" w:rsidP="00F20451">
                              <w:r>
                                <w:rPr>
                                  <w:rFonts w:ascii="Arial" w:eastAsia="Arial" w:hAnsi="Arial" w:cs="Arial"/>
                                  <w:b/>
                                  <w:sz w:val="14"/>
                                </w:rPr>
                                <w:t>Quantidade</w:t>
                              </w:r>
                            </w:p>
                          </w:txbxContent>
                        </wps:txbx>
                        <wps:bodyPr horzOverflow="overflow" vert="horz" lIns="0" tIns="0" rIns="0" bIns="0" rtlCol="0">
                          <a:noAutofit/>
                        </wps:bodyPr>
                      </wps:wsp>
                      <wps:wsp>
                        <wps:cNvPr id="111" name="Rectangle 111"/>
                        <wps:cNvSpPr/>
                        <wps:spPr>
                          <a:xfrm>
                            <a:off x="19050" y="864195"/>
                            <a:ext cx="65834" cy="109526"/>
                          </a:xfrm>
                          <a:prstGeom prst="rect">
                            <a:avLst/>
                          </a:prstGeom>
                          <a:ln>
                            <a:noFill/>
                          </a:ln>
                        </wps:spPr>
                        <wps:txbx>
                          <w:txbxContent>
                            <w:p w14:paraId="1CF7E533" w14:textId="77777777" w:rsidR="00F20451" w:rsidRDefault="00F20451" w:rsidP="00F20451">
                              <w:r>
                                <w:rPr>
                                  <w:rFonts w:ascii="Arial" w:eastAsia="Arial" w:hAnsi="Arial" w:cs="Arial"/>
                                  <w:sz w:val="14"/>
                                </w:rPr>
                                <w:t>1</w:t>
                              </w:r>
                            </w:p>
                          </w:txbxContent>
                        </wps:txbx>
                        <wps:bodyPr horzOverflow="overflow" vert="horz" lIns="0" tIns="0" rIns="0" bIns="0" rtlCol="0">
                          <a:noAutofit/>
                        </wps:bodyPr>
                      </wps:wsp>
                      <wps:wsp>
                        <wps:cNvPr id="112" name="Rectangle 112"/>
                        <wps:cNvSpPr/>
                        <wps:spPr>
                          <a:xfrm>
                            <a:off x="231013" y="864195"/>
                            <a:ext cx="5975401" cy="109526"/>
                          </a:xfrm>
                          <a:prstGeom prst="rect">
                            <a:avLst/>
                          </a:prstGeom>
                          <a:ln>
                            <a:noFill/>
                          </a:ln>
                        </wps:spPr>
                        <wps:txbx>
                          <w:txbxContent>
                            <w:p w14:paraId="14CFF60E" w14:textId="77777777" w:rsidR="00F20451" w:rsidRDefault="00F20451" w:rsidP="00F20451">
                              <w:r>
                                <w:rPr>
                                  <w:rFonts w:ascii="Arial" w:eastAsia="Arial" w:hAnsi="Arial" w:cs="Arial"/>
                                  <w:sz w:val="14"/>
                                </w:rPr>
                                <w:t>AVENTAL DE PROTECAO PARA ASSISTENCIA AO PACIENTE, COR AMARELA, EM SMS, GRAMATURA</w:t>
                              </w:r>
                            </w:p>
                          </w:txbxContent>
                        </wps:txbx>
                        <wps:bodyPr horzOverflow="overflow" vert="horz" lIns="0" tIns="0" rIns="0" bIns="0" rtlCol="0">
                          <a:noAutofit/>
                        </wps:bodyPr>
                      </wps:wsp>
                      <wps:wsp>
                        <wps:cNvPr id="113" name="Rectangle 113"/>
                        <wps:cNvSpPr/>
                        <wps:spPr>
                          <a:xfrm>
                            <a:off x="231013" y="1043773"/>
                            <a:ext cx="5975898" cy="109526"/>
                          </a:xfrm>
                          <a:prstGeom prst="rect">
                            <a:avLst/>
                          </a:prstGeom>
                          <a:ln>
                            <a:noFill/>
                          </a:ln>
                        </wps:spPr>
                        <wps:txbx>
                          <w:txbxContent>
                            <w:p w14:paraId="0CC49B93" w14:textId="77777777" w:rsidR="00F20451" w:rsidRDefault="00F20451" w:rsidP="00F20451">
                              <w:r>
                                <w:rPr>
                                  <w:rFonts w:ascii="Arial" w:eastAsia="Arial" w:hAnsi="Arial" w:cs="Arial"/>
                                  <w:sz w:val="14"/>
                                </w:rPr>
                                <w:t>MINIMA 30G/M², DIMENSOES MINIMAS DE 1,20 M DE COMPRIMENTO E 1,40 M DE LARGURA, ATOXICO,</w:t>
                              </w:r>
                            </w:p>
                          </w:txbxContent>
                        </wps:txbx>
                        <wps:bodyPr horzOverflow="overflow" vert="horz" lIns="0" tIns="0" rIns="0" bIns="0" rtlCol="0">
                          <a:noAutofit/>
                        </wps:bodyPr>
                      </wps:wsp>
                      <wps:wsp>
                        <wps:cNvPr id="114" name="Rectangle 114"/>
                        <wps:cNvSpPr/>
                        <wps:spPr>
                          <a:xfrm>
                            <a:off x="231013" y="1223351"/>
                            <a:ext cx="5975776" cy="109526"/>
                          </a:xfrm>
                          <a:prstGeom prst="rect">
                            <a:avLst/>
                          </a:prstGeom>
                          <a:ln>
                            <a:noFill/>
                          </a:ln>
                        </wps:spPr>
                        <wps:txbx>
                          <w:txbxContent>
                            <w:p w14:paraId="6E57A3E0" w14:textId="77777777" w:rsidR="00F20451" w:rsidRDefault="00F20451" w:rsidP="00F20451">
                              <w:r>
                                <w:rPr>
                                  <w:rFonts w:ascii="Arial" w:eastAsia="Arial" w:hAnsi="Arial" w:cs="Arial"/>
                                  <w:sz w:val="14"/>
                                </w:rPr>
                                <w:t>HIDRO/HEMORREPELENTE, HIPOALERGENICO, RESPIRAVEL E COM BAIXO DESPRENDIMENTO DE</w:t>
                              </w:r>
                            </w:p>
                          </w:txbxContent>
                        </wps:txbx>
                        <wps:bodyPr horzOverflow="overflow" vert="horz" lIns="0" tIns="0" rIns="0" bIns="0" rtlCol="0">
                          <a:noAutofit/>
                        </wps:bodyPr>
                      </wps:wsp>
                      <wps:wsp>
                        <wps:cNvPr id="115" name="Rectangle 115"/>
                        <wps:cNvSpPr/>
                        <wps:spPr>
                          <a:xfrm>
                            <a:off x="231013" y="1402929"/>
                            <a:ext cx="5975483" cy="109526"/>
                          </a:xfrm>
                          <a:prstGeom prst="rect">
                            <a:avLst/>
                          </a:prstGeom>
                          <a:ln>
                            <a:noFill/>
                          </a:ln>
                        </wps:spPr>
                        <wps:txbx>
                          <w:txbxContent>
                            <w:p w14:paraId="56B13369" w14:textId="77777777" w:rsidR="00F20451" w:rsidRDefault="00F20451" w:rsidP="00F20451">
                              <w:r>
                                <w:rPr>
                                  <w:rFonts w:ascii="Arial" w:eastAsia="Arial" w:hAnsi="Arial" w:cs="Arial"/>
                                  <w:sz w:val="14"/>
                                </w:rPr>
                                <w:t>PARTICULAS. MANGA LONGA, PUNHO COM ELASTICO OU MALHA CANELADA; DECOTE CARECA COM</w:t>
                              </w:r>
                            </w:p>
                          </w:txbxContent>
                        </wps:txbx>
                        <wps:bodyPr horzOverflow="overflow" vert="horz" lIns="0" tIns="0" rIns="0" bIns="0" rtlCol="0">
                          <a:noAutofit/>
                        </wps:bodyPr>
                      </wps:wsp>
                      <wps:wsp>
                        <wps:cNvPr id="116" name="Rectangle 116"/>
                        <wps:cNvSpPr/>
                        <wps:spPr>
                          <a:xfrm>
                            <a:off x="231013" y="1582379"/>
                            <a:ext cx="5975426" cy="109526"/>
                          </a:xfrm>
                          <a:prstGeom prst="rect">
                            <a:avLst/>
                          </a:prstGeom>
                          <a:ln>
                            <a:noFill/>
                          </a:ln>
                        </wps:spPr>
                        <wps:txbx>
                          <w:txbxContent>
                            <w:p w14:paraId="23C85DBB" w14:textId="77777777" w:rsidR="00F20451" w:rsidRDefault="00F20451" w:rsidP="00F20451">
                              <w:r>
                                <w:rPr>
                                  <w:rFonts w:ascii="Arial" w:eastAsia="Arial" w:hAnsi="Arial" w:cs="Arial"/>
                                  <w:sz w:val="14"/>
                                </w:rPr>
                                <w:t>ACABAMENTO EM VIES NA GOLA, COM 02 TIRAS COSTURADAS OU SELADAS,  COMPRIMENTO MINIMO</w:t>
                              </w:r>
                            </w:p>
                          </w:txbxContent>
                        </wps:txbx>
                        <wps:bodyPr horzOverflow="overflow" vert="horz" lIns="0" tIns="0" rIns="0" bIns="0" rtlCol="0">
                          <a:noAutofit/>
                        </wps:bodyPr>
                      </wps:wsp>
                      <wps:wsp>
                        <wps:cNvPr id="117" name="Rectangle 117"/>
                        <wps:cNvSpPr/>
                        <wps:spPr>
                          <a:xfrm>
                            <a:off x="231013" y="1761957"/>
                            <a:ext cx="5976007" cy="109526"/>
                          </a:xfrm>
                          <a:prstGeom prst="rect">
                            <a:avLst/>
                          </a:prstGeom>
                          <a:ln>
                            <a:noFill/>
                          </a:ln>
                        </wps:spPr>
                        <wps:txbx>
                          <w:txbxContent>
                            <w:p w14:paraId="6CD921FF" w14:textId="77777777" w:rsidR="00F20451" w:rsidRDefault="00F20451" w:rsidP="00F20451">
                              <w:r>
                                <w:rPr>
                                  <w:rFonts w:ascii="Arial" w:eastAsia="Arial" w:hAnsi="Arial" w:cs="Arial"/>
                                  <w:sz w:val="14"/>
                                </w:rPr>
                                <w:t>DE 25 CM CADA, QUE PERMITA FECHAMENTO ADEQUADO NO PESCOCO; 02 TIRAS COSTURADAS OU</w:t>
                              </w:r>
                            </w:p>
                          </w:txbxContent>
                        </wps:txbx>
                        <wps:bodyPr horzOverflow="overflow" vert="horz" lIns="0" tIns="0" rIns="0" bIns="0" rtlCol="0">
                          <a:noAutofit/>
                        </wps:bodyPr>
                      </wps:wsp>
                      <wps:wsp>
                        <wps:cNvPr id="118" name="Rectangle 118"/>
                        <wps:cNvSpPr/>
                        <wps:spPr>
                          <a:xfrm>
                            <a:off x="231013" y="1941535"/>
                            <a:ext cx="5975611" cy="109526"/>
                          </a:xfrm>
                          <a:prstGeom prst="rect">
                            <a:avLst/>
                          </a:prstGeom>
                          <a:ln>
                            <a:noFill/>
                          </a:ln>
                        </wps:spPr>
                        <wps:txbx>
                          <w:txbxContent>
                            <w:p w14:paraId="74C6E8EC" w14:textId="77777777" w:rsidR="00F20451" w:rsidRDefault="00F20451" w:rsidP="00F20451">
                              <w:r>
                                <w:rPr>
                                  <w:rFonts w:ascii="Arial" w:eastAsia="Arial" w:hAnsi="Arial" w:cs="Arial"/>
                                  <w:sz w:val="14"/>
                                </w:rPr>
                                <w:t>SELADAS  NA CINTURA, COM COMPRIMENTO TOTAL MÍNIMO DE 1,80 M, QUE PERMITA FECHAMENTO</w:t>
                              </w:r>
                            </w:p>
                          </w:txbxContent>
                        </wps:txbx>
                        <wps:bodyPr horzOverflow="overflow" vert="horz" lIns="0" tIns="0" rIns="0" bIns="0" rtlCol="0">
                          <a:noAutofit/>
                        </wps:bodyPr>
                      </wps:wsp>
                      <wps:wsp>
                        <wps:cNvPr id="119" name="Rectangle 119"/>
                        <wps:cNvSpPr/>
                        <wps:spPr>
                          <a:xfrm>
                            <a:off x="231013" y="2121114"/>
                            <a:ext cx="5975813" cy="109526"/>
                          </a:xfrm>
                          <a:prstGeom prst="rect">
                            <a:avLst/>
                          </a:prstGeom>
                          <a:ln>
                            <a:noFill/>
                          </a:ln>
                        </wps:spPr>
                        <wps:txbx>
                          <w:txbxContent>
                            <w:p w14:paraId="4A3E62EF" w14:textId="77777777" w:rsidR="00F20451" w:rsidRDefault="00F20451" w:rsidP="00F20451">
                              <w:r>
                                <w:rPr>
                                  <w:rFonts w:ascii="Arial" w:eastAsia="Arial" w:hAnsi="Arial" w:cs="Arial"/>
                                  <w:sz w:val="14"/>
                                </w:rPr>
                                <w:t>TRANSPASSADO, PROPORCIONANDO PROTECAO TOTAL DAS COSTAS. TODAS AS COSTURAS DO</w:t>
                              </w:r>
                            </w:p>
                          </w:txbxContent>
                        </wps:txbx>
                        <wps:bodyPr horzOverflow="overflow" vert="horz" lIns="0" tIns="0" rIns="0" bIns="0" rtlCol="0">
                          <a:noAutofit/>
                        </wps:bodyPr>
                      </wps:wsp>
                      <wps:wsp>
                        <wps:cNvPr id="120" name="Rectangle 120"/>
                        <wps:cNvSpPr/>
                        <wps:spPr>
                          <a:xfrm>
                            <a:off x="231013" y="2300565"/>
                            <a:ext cx="5975706" cy="109526"/>
                          </a:xfrm>
                          <a:prstGeom prst="rect">
                            <a:avLst/>
                          </a:prstGeom>
                          <a:ln>
                            <a:noFill/>
                          </a:ln>
                        </wps:spPr>
                        <wps:txbx>
                          <w:txbxContent>
                            <w:p w14:paraId="2B092F14" w14:textId="77777777" w:rsidR="00F20451" w:rsidRDefault="00F20451" w:rsidP="00F20451">
                              <w:r>
                                <w:rPr>
                                  <w:rFonts w:ascii="Arial" w:eastAsia="Arial" w:hAnsi="Arial" w:cs="Arial"/>
                                  <w:sz w:val="14"/>
                                </w:rPr>
                                <w:t>AVENTAL COM ACABAMENTO EM OVERLOQUE OU SELADA.  EMBALAGEM QUE GARANTA A</w:t>
                              </w:r>
                            </w:p>
                          </w:txbxContent>
                        </wps:txbx>
                        <wps:bodyPr horzOverflow="overflow" vert="horz" lIns="0" tIns="0" rIns="0" bIns="0" rtlCol="0">
                          <a:noAutofit/>
                        </wps:bodyPr>
                      </wps:wsp>
                      <wps:wsp>
                        <wps:cNvPr id="121" name="Rectangle 121"/>
                        <wps:cNvSpPr/>
                        <wps:spPr>
                          <a:xfrm>
                            <a:off x="231013" y="2480143"/>
                            <a:ext cx="5975470" cy="109526"/>
                          </a:xfrm>
                          <a:prstGeom prst="rect">
                            <a:avLst/>
                          </a:prstGeom>
                          <a:ln>
                            <a:noFill/>
                          </a:ln>
                        </wps:spPr>
                        <wps:txbx>
                          <w:txbxContent>
                            <w:p w14:paraId="6CDD7A62" w14:textId="77777777" w:rsidR="00F20451" w:rsidRDefault="00F20451" w:rsidP="00F20451">
                              <w:r>
                                <w:rPr>
                                  <w:rFonts w:ascii="Arial" w:eastAsia="Arial" w:hAnsi="Arial" w:cs="Arial"/>
                                  <w:sz w:val="14"/>
                                </w:rPr>
                                <w:t>INTEGRIDADE DO PRODUTO, EM CONFORMIDADE COM A LEGISLACAO VIGENTE-  ANVISA; ANEXAR</w:t>
                              </w:r>
                            </w:p>
                          </w:txbxContent>
                        </wps:txbx>
                        <wps:bodyPr horzOverflow="overflow" vert="horz" lIns="0" tIns="0" rIns="0" bIns="0" rtlCol="0">
                          <a:noAutofit/>
                        </wps:bodyPr>
                      </wps:wsp>
                      <wps:wsp>
                        <wps:cNvPr id="122" name="Rectangle 122"/>
                        <wps:cNvSpPr/>
                        <wps:spPr>
                          <a:xfrm>
                            <a:off x="231013" y="2659721"/>
                            <a:ext cx="4388597" cy="109524"/>
                          </a:xfrm>
                          <a:prstGeom prst="rect">
                            <a:avLst/>
                          </a:prstGeom>
                          <a:ln>
                            <a:noFill/>
                          </a:ln>
                        </wps:spPr>
                        <wps:txbx>
                          <w:txbxContent>
                            <w:p w14:paraId="11ACBEDC" w14:textId="77777777" w:rsidR="00F20451" w:rsidRDefault="00F20451" w:rsidP="00F20451">
                              <w:r>
                                <w:rPr>
                                  <w:rFonts w:ascii="Arial" w:eastAsia="Arial" w:hAnsi="Arial" w:cs="Arial"/>
                                  <w:sz w:val="14"/>
                                </w:rPr>
                                <w:t>LAUDO DE GRAMATURA E LAUDO DE BFE, AMBOS DE NO MAXIMO 02 ANOS.</w:t>
                              </w:r>
                            </w:p>
                          </w:txbxContent>
                        </wps:txbx>
                        <wps:bodyPr horzOverflow="overflow" vert="horz" lIns="0" tIns="0" rIns="0" bIns="0" rtlCol="0">
                          <a:noAutofit/>
                        </wps:bodyPr>
                      </wps:wsp>
                      <wps:wsp>
                        <wps:cNvPr id="123" name="Rectangle 123"/>
                        <wps:cNvSpPr/>
                        <wps:spPr>
                          <a:xfrm>
                            <a:off x="4754372" y="864195"/>
                            <a:ext cx="526670" cy="109526"/>
                          </a:xfrm>
                          <a:prstGeom prst="rect">
                            <a:avLst/>
                          </a:prstGeom>
                          <a:ln>
                            <a:noFill/>
                          </a:ln>
                        </wps:spPr>
                        <wps:txbx>
                          <w:txbxContent>
                            <w:p w14:paraId="70A85D6F" w14:textId="77777777" w:rsidR="00F20451" w:rsidRDefault="00F20451" w:rsidP="00F20451">
                              <w:r>
                                <w:rPr>
                                  <w:rFonts w:ascii="Arial" w:eastAsia="Arial" w:hAnsi="Arial" w:cs="Arial"/>
                                  <w:sz w:val="14"/>
                                </w:rPr>
                                <w:t>61230140</w:t>
                              </w:r>
                            </w:p>
                          </w:txbxContent>
                        </wps:txbx>
                        <wps:bodyPr horzOverflow="overflow" vert="horz" lIns="0" tIns="0" rIns="0" bIns="0" rtlCol="0">
                          <a:noAutofit/>
                        </wps:bodyPr>
                      </wps:wsp>
                      <wps:wsp>
                        <wps:cNvPr id="124" name="Rectangle 124"/>
                        <wps:cNvSpPr/>
                        <wps:spPr>
                          <a:xfrm>
                            <a:off x="5179187" y="864195"/>
                            <a:ext cx="460836" cy="109526"/>
                          </a:xfrm>
                          <a:prstGeom prst="rect">
                            <a:avLst/>
                          </a:prstGeom>
                          <a:ln>
                            <a:noFill/>
                          </a:ln>
                        </wps:spPr>
                        <wps:txbx>
                          <w:txbxContent>
                            <w:p w14:paraId="7DFED4E5" w14:textId="77777777" w:rsidR="00F20451" w:rsidRDefault="00F20451" w:rsidP="00F20451">
                              <w:r>
                                <w:rPr>
                                  <w:rFonts w:ascii="Arial" w:eastAsia="Arial" w:hAnsi="Arial" w:cs="Arial"/>
                                  <w:sz w:val="14"/>
                                </w:rPr>
                                <w:t>5022231</w:t>
                              </w:r>
                            </w:p>
                          </w:txbxContent>
                        </wps:txbx>
                        <wps:bodyPr horzOverflow="overflow" vert="horz" lIns="0" tIns="0" rIns="0" bIns="0" rtlCol="0">
                          <a:noAutofit/>
                        </wps:bodyPr>
                      </wps:wsp>
                      <wps:wsp>
                        <wps:cNvPr id="125" name="Rectangle 125"/>
                        <wps:cNvSpPr/>
                        <wps:spPr>
                          <a:xfrm>
                            <a:off x="5574538" y="864195"/>
                            <a:ext cx="395002" cy="109526"/>
                          </a:xfrm>
                          <a:prstGeom prst="rect">
                            <a:avLst/>
                          </a:prstGeom>
                          <a:ln>
                            <a:noFill/>
                          </a:ln>
                        </wps:spPr>
                        <wps:txbx>
                          <w:txbxContent>
                            <w:p w14:paraId="3AB48EFE" w14:textId="77777777" w:rsidR="00F20451" w:rsidRDefault="00F20451" w:rsidP="00F20451">
                              <w:r>
                                <w:rPr>
                                  <w:rFonts w:ascii="Arial" w:eastAsia="Arial" w:hAnsi="Arial" w:cs="Arial"/>
                                  <w:sz w:val="14"/>
                                </w:rPr>
                                <w:t>604955</w:t>
                              </w:r>
                            </w:p>
                          </w:txbxContent>
                        </wps:txbx>
                        <wps:bodyPr horzOverflow="overflow" vert="horz" lIns="0" tIns="0" rIns="0" bIns="0" rtlCol="0">
                          <a:noAutofit/>
                        </wps:bodyPr>
                      </wps:wsp>
                      <wps:wsp>
                        <wps:cNvPr id="126" name="Rectangle 126"/>
                        <wps:cNvSpPr/>
                        <wps:spPr>
                          <a:xfrm>
                            <a:off x="5989320" y="864195"/>
                            <a:ext cx="532827" cy="109526"/>
                          </a:xfrm>
                          <a:prstGeom prst="rect">
                            <a:avLst/>
                          </a:prstGeom>
                          <a:ln>
                            <a:noFill/>
                          </a:ln>
                        </wps:spPr>
                        <wps:txbx>
                          <w:txbxContent>
                            <w:p w14:paraId="5F19EA68" w14:textId="77777777" w:rsidR="00F20451" w:rsidRDefault="00F20451" w:rsidP="00F20451">
                              <w:r>
                                <w:rPr>
                                  <w:rFonts w:ascii="Arial" w:eastAsia="Arial" w:hAnsi="Arial" w:cs="Arial"/>
                                  <w:sz w:val="14"/>
                                </w:rPr>
                                <w:t>UNIDADE</w:t>
                              </w:r>
                            </w:p>
                          </w:txbxContent>
                        </wps:txbx>
                        <wps:bodyPr horzOverflow="overflow" vert="horz" lIns="0" tIns="0" rIns="0" bIns="0" rtlCol="0">
                          <a:noAutofit/>
                        </wps:bodyPr>
                      </wps:wsp>
                      <wps:wsp>
                        <wps:cNvPr id="127" name="Rectangle 127"/>
                        <wps:cNvSpPr/>
                        <wps:spPr>
                          <a:xfrm>
                            <a:off x="6418961" y="864195"/>
                            <a:ext cx="822921" cy="109526"/>
                          </a:xfrm>
                          <a:prstGeom prst="rect">
                            <a:avLst/>
                          </a:prstGeom>
                          <a:ln>
                            <a:noFill/>
                          </a:ln>
                        </wps:spPr>
                        <wps:txbx>
                          <w:txbxContent>
                            <w:p w14:paraId="144961AE" w14:textId="77777777" w:rsidR="00F20451" w:rsidRDefault="00F20451" w:rsidP="00F20451">
                              <w:r>
                                <w:rPr>
                                  <w:rFonts w:ascii="Arial" w:eastAsia="Arial" w:hAnsi="Arial" w:cs="Arial"/>
                                  <w:sz w:val="14"/>
                                </w:rPr>
                                <w:t>1.073.668,0000</w:t>
                              </w:r>
                            </w:p>
                          </w:txbxContent>
                        </wps:txbx>
                        <wps:bodyPr horzOverflow="overflow" vert="horz" lIns="0" tIns="0" rIns="0" bIns="0" rtlCol="0">
                          <a:noAutofit/>
                        </wps:bodyPr>
                      </wps:wsp>
                    </wpg:wgp>
                  </a:graphicData>
                </a:graphic>
              </wp:inline>
            </w:drawing>
          </mc:Choice>
          <mc:Fallback>
            <w:pict>
              <v:group w14:anchorId="2CC5A806" id="Group 13928" o:spid="_x0000_s1026" style="width:555.7pt;height:229.4pt;mso-position-horizontal-relative:char;mso-position-vertical-relative:line" coordsize="70571,291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">
                <v:shape id="Shape 11" o:spid="_x0000_s1027" style="position:absolute;width:2214;height:95;visibility:visible;mso-wrap-style:square;v-text-anchor:top" coordsize="221488,9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" path="m,l221488,r-9525,9525l9525,9525,,xe" fillcolor="black" stroked="f" strokeweight="0">
                  <v:stroke miterlimit="83231f" joinstyle="miter" endcap="square"/>
                  <v:path arrowok="t" textboxrect="0,0,221488,9525"/>
                </v:shape>
                <v:shape id="Shape 12" o:spid="_x0000_s1028" style="position:absolute;left:2119;width:95;height:6532;visibility:visible;mso-wrap-style:square;v-text-anchor:top" coordsize="9525,6532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" path="m9525,r,653288l,643763,,9525,9525,xe" fillcolor="black" stroked="f" strokeweight="0">
                  <v:stroke miterlimit="83231f" joinstyle="miter" endcap="square"/>
                  <v:path arrowok="t" textboxrect="0,0,9525,653288"/>
                </v:shape>
                <v:shape id="Shape 13" o:spid="_x0000_s1029" style="position:absolute;top:6437;width:2214;height:95;visibility:visible;mso-wrap-style:square;v-text-anchor:top" coordsize="221488,9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" path="m9525,l211963,r9525,9525l,9525,9525,xe" fillcolor="black" stroked="f" strokeweight="0">
                  <v:stroke miterlimit="83231f" joinstyle="miter" endcap="square"/>
                  <v:path arrowok="t" textboxrect="0,0,221488,9525"/>
                </v:shape>
                <v:shape id="Shape 14" o:spid="_x0000_s1030" style="position:absolute;width:95;height:6532;visibility:visible;mso-wrap-style:square;v-text-anchor:top" coordsize="9525,6532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" path="m,l9525,9525r,634238l,653288,,xe" fillcolor="black" stroked="f" strokeweight="0">
                  <v:stroke miterlimit="83231f" joinstyle="miter" endcap="square"/>
                  <v:path arrowok="t" textboxrect="0,0,9525,653288"/>
                </v:shape>
                <v:shape id="Shape 15" o:spid="_x0000_s1031" style="position:absolute;left:2119;width:45329;height:95;visibility:visible;mso-wrap-style:square;v-text-anchor:top" coordsize="4532884,9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" path="m,l4532884,r-9525,9525l9525,9525,,xe" fillcolor="black" stroked="f" strokeweight="0">
                  <v:stroke miterlimit="83231f" joinstyle="miter" endcap="square"/>
                  <v:path arrowok="t" textboxrect="0,0,4532884,9525"/>
                </v:shape>
                <v:shape id="Shape 16" o:spid="_x0000_s1032" style="position:absolute;left:47353;width:95;height:6532;visibility:visible;mso-wrap-style:square;v-text-anchor:top" coordsize="9525,6532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" path="m9525,r,653288l,643763,,9525,9525,xe" fillcolor="black" stroked="f" strokeweight="0">
                  <v:stroke miterlimit="83231f" joinstyle="miter" endcap="square"/>
                  <v:path arrowok="t" textboxrect="0,0,9525,653288"/>
                </v:shape>
                <v:shape id="Shape 17" o:spid="_x0000_s1033" style="position:absolute;left:2119;top:6437;width:45329;height:95;visibility:visible;mso-wrap-style:square;v-text-anchor:top" coordsize="4532884,9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" path="m9525,l4523359,r9525,9525l,9525,9525,xe" fillcolor="black" stroked="f" strokeweight="0">
                  <v:stroke miterlimit="83231f" joinstyle="miter" endcap="square"/>
                  <v:path arrowok="t" textboxrect="0,0,4532884,9525"/>
                </v:shape>
                <v:shape id="Shape 18" o:spid="_x0000_s1034" style="position:absolute;left:2119;width:95;height:6532;visibility:visible;mso-wrap-style:square;v-text-anchor:top" coordsize="9525,6532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" path="m,l9525,9525r,634238l,653288,,xe" fillcolor="black" stroked="f" strokeweight="0">
                  <v:stroke miterlimit="83231f" joinstyle="miter" endcap="square"/>
                  <v:path arrowok="t" textboxrect="0,0,9525,653288"/>
                </v:shape>
                <v:shape id="Shape 19" o:spid="_x0000_s1035" style="position:absolute;left:47353;width:4343;height:95;visibility:visible;mso-wrap-style:square;v-text-anchor:top" coordsize="434340,9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" path="m,l434340,r-9525,9525l9525,9525,,xe" fillcolor="black" stroked="f" strokeweight="0">
                  <v:stroke miterlimit="83231f" joinstyle="miter" endcap="square"/>
                  <v:path arrowok="t" textboxrect="0,0,434340,9525"/>
                </v:shape>
                <v:shape id="Shape 20" o:spid="_x0000_s1036" style="position:absolute;left:51601;width:95;height:6532;visibility:visible;mso-wrap-style:square;v-text-anchor:top" coordsize="9525,6532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" path="m9525,r,653288l,643763,,9525,9525,xe" fillcolor="black" stroked="f" strokeweight="0">
                  <v:stroke miterlimit="83231f" joinstyle="miter" endcap="square"/>
                  <v:path arrowok="t" textboxrect="0,0,9525,653288"/>
                </v:shape>
                <v:shape id="Shape 21" o:spid="_x0000_s1037" style="position:absolute;left:47353;top:6437;width:4343;height:95;visibility:visible;mso-wrap-style:square;v-text-anchor:top" coordsize="434340,9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" path="m9525,l424815,r9525,9525l,9525,9525,xe" fillcolor="black" stroked="f" strokeweight="0">
                  <v:stroke miterlimit="83231f" joinstyle="miter" endcap="square"/>
                  <v:path arrowok="t" textboxrect="0,0,434340,9525"/>
                </v:shape>
                <v:shape id="Shape 22" o:spid="_x0000_s1038" style="position:absolute;left:47353;width:95;height:6532;visibility:visible;mso-wrap-style:square;v-text-anchor:top" coordsize="9525,6532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" path="m,l9525,9525r,634238l,653288,,xe" fillcolor="black" stroked="f" strokeweight="0">
                  <v:stroke miterlimit="83231f" joinstyle="miter" endcap="square"/>
                  <v:path arrowok="t" textboxrect="0,0,9525,653288"/>
                </v:shape>
                <v:shape id="Shape 23" o:spid="_x0000_s1039" style="position:absolute;left:51601;width:4049;height:95;visibility:visible;mso-wrap-style:square;v-text-anchor:top" coordsize="404876,9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" path="m,l404876,r-9525,9525l9525,9525,,xe" fillcolor="black" stroked="f" strokeweight="0">
                  <v:stroke miterlimit="83231f" joinstyle="miter" endcap="square"/>
                  <v:path arrowok="t" textboxrect="0,0,404876,9525"/>
                </v:shape>
                <v:shape id="Shape 24" o:spid="_x0000_s1040" style="position:absolute;left:55554;width:96;height:6532;visibility:visible;mso-wrap-style:square;v-text-anchor:top" coordsize="9525,6532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" path="m9525,r,653288l,643763,,9525,9525,xe" fillcolor="black" stroked="f" strokeweight="0">
                  <v:stroke miterlimit="83231f" joinstyle="miter" endcap="square"/>
                  <v:path arrowok="t" textboxrect="0,0,9525,653288"/>
                </v:shape>
                <v:shape id="Shape 25" o:spid="_x0000_s1041" style="position:absolute;left:51601;top:6437;width:4049;height:95;visibility:visible;mso-wrap-style:square;v-text-anchor:top" coordsize="404876,9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" path="m9525,l395351,r9525,9525l,9525,9525,xe" fillcolor="black" stroked="f" strokeweight="0">
                  <v:stroke miterlimit="83231f" joinstyle="miter" endcap="square"/>
                  <v:path arrowok="t" textboxrect="0,0,404876,9525"/>
                </v:shape>
                <v:shape id="Shape 26" o:spid="_x0000_s1042" style="position:absolute;left:51601;width:95;height:6532;visibility:visible;mso-wrap-style:square;v-text-anchor:top" coordsize="9525,6532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" path="m,l9525,9525r,634238l,653288,,xe" fillcolor="black" stroked="f" strokeweight="0">
                  <v:stroke miterlimit="83231f" joinstyle="miter" endcap="square"/>
                  <v:path arrowok="t" textboxrect="0,0,9525,653288"/>
                </v:shape>
                <v:shape id="Shape 27" o:spid="_x0000_s1043" style="position:absolute;left:55554;width:4243;height:95;visibility:visible;mso-wrap-style:square;v-text-anchor:top" coordsize="424307,9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" path="m,l424307,r-9525,9525l9525,9525,,xe" fillcolor="black" stroked="f" strokeweight="0">
                  <v:stroke miterlimit="83231f" joinstyle="miter" endcap="square"/>
                  <v:path arrowok="t" textboxrect="0,0,424307,9525"/>
                </v:shape>
                <v:shape id="Shape 28" o:spid="_x0000_s1044" style="position:absolute;left:59702;width:95;height:6532;visibility:visible;mso-wrap-style:square;v-text-anchor:top" coordsize="9525,6532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" path="m9525,r,653288l,643763,,9525,9525,xe" fillcolor="black" stroked="f" strokeweight="0">
                  <v:stroke miterlimit="83231f" joinstyle="miter" endcap="square"/>
                  <v:path arrowok="t" textboxrect="0,0,9525,653288"/>
                </v:shape>
                <v:shape id="Shape 29" o:spid="_x0000_s1045" style="position:absolute;left:55554;top:6437;width:4243;height:95;visibility:visible;mso-wrap-style:square;v-text-anchor:top" coordsize="424307,9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" path="m9525,l414782,r9525,9525l,9525,9525,xe" fillcolor="black" stroked="f" strokeweight="0">
                  <v:stroke miterlimit="83231f" joinstyle="miter" endcap="square"/>
                  <v:path arrowok="t" textboxrect="0,0,424307,9525"/>
                </v:shape>
                <v:shape id="Shape 30" o:spid="_x0000_s1046" style="position:absolute;left:55554;width:96;height:6532;visibility:visible;mso-wrap-style:square;v-text-anchor:top" coordsize="9525,6532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" path="m,l9525,9525r,634238l,653288,,xe" fillcolor="black" stroked="f" strokeweight="0">
                  <v:stroke miterlimit="83231f" joinstyle="miter" endcap="square"/>
                  <v:path arrowok="t" textboxrect="0,0,9525,653288"/>
                </v:shape>
                <v:shape id="Shape 31" o:spid="_x0000_s1047" style="position:absolute;left:59702;width:4392;height:95;visibility:visible;mso-wrap-style:square;v-text-anchor:top" coordsize="439166,9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" path="m,l439166,r-9525,9525l9525,9525,,xe" fillcolor="black" stroked="f" strokeweight="0">
                  <v:stroke miterlimit="83231f" joinstyle="miter" endcap="square"/>
                  <v:path arrowok="t" textboxrect="0,0,439166,9525"/>
                </v:shape>
                <v:shape id="Shape 32" o:spid="_x0000_s1048" style="position:absolute;left:63999;width:95;height:6532;visibility:visible;mso-wrap-style:square;v-text-anchor:top" coordsize="9525,6532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" path="m9525,r,653288l,643763,,9525,9525,xe" fillcolor="black" stroked="f" strokeweight="0">
                  <v:stroke miterlimit="83231f" joinstyle="miter" endcap="square"/>
                  <v:path arrowok="t" textboxrect="0,0,9525,653288"/>
                </v:shape>
                <v:shape id="Shape 33" o:spid="_x0000_s1049" style="position:absolute;left:59702;top:6437;width:4392;height:95;visibility:visible;mso-wrap-style:square;v-text-anchor:top" coordsize="439166,9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" path="m9525,l429641,r9525,9525l,9525,9525,xe" fillcolor="black" stroked="f" strokeweight="0">
                  <v:stroke miterlimit="83231f" joinstyle="miter" endcap="square"/>
                  <v:path arrowok="t" textboxrect="0,0,439166,9525"/>
                </v:shape>
                <v:shape id="Shape 34" o:spid="_x0000_s1050" style="position:absolute;left:59702;width:95;height:6532;visibility:visible;mso-wrap-style:square;v-text-anchor:top" coordsize="9525,6532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" path="m,l9525,9525r,634238l,653288,,xe" fillcolor="black" stroked="f" strokeweight="0">
                  <v:stroke miterlimit="83231f" joinstyle="miter" endcap="square"/>
                  <v:path arrowok="t" textboxrect="0,0,9525,653288"/>
                </v:shape>
                <v:shape id="Shape 35" o:spid="_x0000_s1051" style="position:absolute;left:63999;width:6572;height:95;visibility:visible;mso-wrap-style:square;v-text-anchor:top" coordsize="657225,9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" path="m,l657225,r-9525,9525l9525,9525,,xe" fillcolor="black" stroked="f" strokeweight="0">
                  <v:stroke miterlimit="83231f" joinstyle="miter" endcap="square"/>
                  <v:path arrowok="t" textboxrect="0,0,657225,9525"/>
                </v:shape>
                <v:shape id="Shape 36" o:spid="_x0000_s1052" style="position:absolute;left:70476;width:95;height:6532;visibility:visible;mso-wrap-style:square;v-text-anchor:top" coordsize="9525,6532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" path="m9525,r,653288l,643763,,9525,9525,xe" fillcolor="black" stroked="f" strokeweight="0">
                  <v:stroke miterlimit="83231f" joinstyle="miter" endcap="square"/>
                  <v:path arrowok="t" textboxrect="0,0,9525,653288"/>
                </v:shape>
                <v:shape id="Shape 37" o:spid="_x0000_s1053" style="position:absolute;left:63999;top:6437;width:6572;height:95;visibility:visible;mso-wrap-style:square;v-text-anchor:top" coordsize="657225,9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" path="m9525,l647700,r9525,9525l,9525,9525,xe" fillcolor="black" stroked="f" strokeweight="0">
                  <v:stroke miterlimit="83231f" joinstyle="miter" endcap="square"/>
                  <v:path arrowok="t" textboxrect="0,0,657225,9525"/>
                </v:shape>
                <v:shape id="Shape 38" o:spid="_x0000_s1054" style="position:absolute;left:63999;width:95;height:6532;visibility:visible;mso-wrap-style:square;v-text-anchor:top" coordsize="9525,6532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" path="m,l9525,9525r,634238l,653288,,xe" fillcolor="black" stroked="f" strokeweight="0">
                  <v:stroke miterlimit="83231f" joinstyle="miter" endcap="square"/>
                  <v:path arrowok="t" textboxrect="0,0,9525,653288"/>
                </v:shape>
                <v:shape id="Shape 39" o:spid="_x0000_s1055" style="position:absolute;top:6437;width:2214;height:95;visibility:visible;mso-wrap-style:square;v-text-anchor:top" coordsize="221488,9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" path="m,l221488,r-9525,9525l9525,9525,,xe" fillcolor="black" stroked="f" strokeweight="0">
                  <v:stroke miterlimit="83231f" joinstyle="miter" endcap="square"/>
                  <v:path arrowok="t" textboxrect="0,0,221488,9525"/>
                </v:shape>
                <v:shape id="Shape 40" o:spid="_x0000_s1056" style="position:absolute;left:2119;top:6437;width:95;height:22694;visibility:visible;mso-wrap-style:square;v-text-anchor:top" coordsize="9525,22693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" path="m9525,r,2269362l,2259837,,9525,9525,xe" fillcolor="black" stroked="f" strokeweight="0">
                  <v:stroke miterlimit="83231f" joinstyle="miter" endcap="square"/>
                  <v:path arrowok="t" textboxrect="0,0,9525,2269362"/>
                </v:shape>
                <v:shape id="Shape 41" o:spid="_x0000_s1057" style="position:absolute;top:29036;width:2214;height:95;visibility:visible;mso-wrap-style:square;v-text-anchor:top" coordsize="221488,9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" path="m9525,l211963,r9525,9525l,9525,9525,xe" fillcolor="black" stroked="f" strokeweight="0">
                  <v:stroke miterlimit="83231f" joinstyle="miter" endcap="square"/>
                  <v:path arrowok="t" textboxrect="0,0,221488,9525"/>
                </v:shape>
                <v:shape id="Shape 42" o:spid="_x0000_s1058" style="position:absolute;top:6437;width:95;height:22694;visibility:visible;mso-wrap-style:square;v-text-anchor:top" coordsize="9525,22693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" path="m,l9525,9525r,2250312l,2269362,,xe" fillcolor="black" stroked="f" strokeweight="0">
                  <v:stroke miterlimit="83231f" joinstyle="miter" endcap="square"/>
                  <v:path arrowok="t" textboxrect="0,0,9525,2269362"/>
                </v:shape>
                <v:shape id="Shape 43" o:spid="_x0000_s1059" style="position:absolute;left:2119;top:6437;width:45329;height:95;visibility:visible;mso-wrap-style:square;v-text-anchor:top" coordsize="4532884,9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" path="m,l4532884,r-9525,9525l9525,9525,,xe" fillcolor="black" stroked="f" strokeweight="0">
                  <v:stroke miterlimit="83231f" joinstyle="miter" endcap="square"/>
                  <v:path arrowok="t" textboxrect="0,0,4532884,9525"/>
                </v:shape>
                <v:shape id="Shape 44" o:spid="_x0000_s1060" style="position:absolute;left:47353;top:6437;width:95;height:22694;visibility:visible;mso-wrap-style:square;v-text-anchor:top" coordsize="9525,22693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" path="m9525,r,2269362l,2259837,,9525,9525,xe" fillcolor="black" stroked="f" strokeweight="0">
                  <v:stroke miterlimit="83231f" joinstyle="miter" endcap="square"/>
                  <v:path arrowok="t" textboxrect="0,0,9525,2269362"/>
                </v:shape>
                <v:shape id="Shape 45" o:spid="_x0000_s1061" style="position:absolute;left:2119;top:29036;width:45329;height:95;visibility:visible;mso-wrap-style:square;v-text-anchor:top" coordsize="4532884,9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" path="m9525,l4523359,r9525,9525l,9525,9525,xe" fillcolor="black" stroked="f" strokeweight="0">
                  <v:stroke miterlimit="83231f" joinstyle="miter" endcap="square"/>
                  <v:path arrowok="t" textboxrect="0,0,4532884,9525"/>
                </v:shape>
                <v:shape id="Shape 46" o:spid="_x0000_s1062" style="position:absolute;left:2119;top:6437;width:95;height:22694;visibility:visible;mso-wrap-style:square;v-text-anchor:top" coordsize="9525,22693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" path="m,l9525,9525r,2250312l,2269362,,xe" fillcolor="black" stroked="f" strokeweight="0">
                  <v:stroke miterlimit="83231f" joinstyle="miter" endcap="square"/>
                  <v:path arrowok="t" textboxrect="0,0,9525,2269362"/>
                </v:shape>
                <v:shape id="Shape 47" o:spid="_x0000_s1063" style="position:absolute;left:47353;top:6437;width:4343;height:95;visibility:visible;mso-wrap-style:square;v-text-anchor:top" coordsize="434340,9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" path="m,l434340,r-9525,9525l9525,9525,,xe" fillcolor="black" stroked="f" strokeweight="0">
                  <v:stroke miterlimit="83231f" joinstyle="miter" endcap="square"/>
                  <v:path arrowok="t" textboxrect="0,0,434340,9525"/>
                </v:shape>
                <v:shape id="Shape 48" o:spid="_x0000_s1064" style="position:absolute;left:51601;top:6437;width:95;height:22694;visibility:visible;mso-wrap-style:square;v-text-anchor:top" coordsize="9525,22693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" path="m9525,r,2269362l,2259837,,9525,9525,xe" fillcolor="black" stroked="f" strokeweight="0">
                  <v:stroke miterlimit="83231f" joinstyle="miter" endcap="square"/>
                  <v:path arrowok="t" textboxrect="0,0,9525,2269362"/>
                </v:shape>
                <v:shape id="Shape 49" o:spid="_x0000_s1065" style="position:absolute;left:47353;top:29036;width:4343;height:95;visibility:visible;mso-wrap-style:square;v-text-anchor:top" coordsize="434340,9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" path="m9525,l424815,r9525,9525l,9525,9525,xe" fillcolor="black" stroked="f" strokeweight="0">
                  <v:stroke miterlimit="83231f" joinstyle="miter" endcap="square"/>
                  <v:path arrowok="t" textboxrect="0,0,434340,9525"/>
                </v:shape>
                <v:shape id="Shape 50" o:spid="_x0000_s1066" style="position:absolute;left:47353;top:6437;width:95;height:22694;visibility:visible;mso-wrap-style:square;v-text-anchor:top" coordsize="9525,22693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" path="m,l9525,9525r,2250312l,2269362,,xe" fillcolor="black" stroked="f" strokeweight="0">
                  <v:stroke miterlimit="83231f" joinstyle="miter" endcap="square"/>
                  <v:path arrowok="t" textboxrect="0,0,9525,2269362"/>
                </v:shape>
                <v:shape id="Shape 51" o:spid="_x0000_s1067" style="position:absolute;left:51601;top:6437;width:4049;height:95;visibility:visible;mso-wrap-style:square;v-text-anchor:top" coordsize="404876,9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" path="m,l404876,r-9525,9525l9525,9525,,xe" fillcolor="black" stroked="f" strokeweight="0">
                  <v:stroke miterlimit="83231f" joinstyle="miter" endcap="square"/>
                  <v:path arrowok="t" textboxrect="0,0,404876,9525"/>
                </v:shape>
                <v:shape id="Shape 52" o:spid="_x0000_s1068" style="position:absolute;left:55554;top:6437;width:96;height:22694;visibility:visible;mso-wrap-style:square;v-text-anchor:top" coordsize="9525,22693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" path="m9525,r,2269362l,2259837,,9525,9525,xe" fillcolor="black" stroked="f" strokeweight="0">
                  <v:stroke miterlimit="83231f" joinstyle="miter" endcap="square"/>
                  <v:path arrowok="t" textboxrect="0,0,9525,2269362"/>
                </v:shape>
                <v:shape id="Shape 53" o:spid="_x0000_s1069" style="position:absolute;left:51601;top:29036;width:4049;height:95;visibility:visible;mso-wrap-style:square;v-text-anchor:top" coordsize="404876,9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" path="m9525,l395351,r9525,9525l,9525,9525,xe" fillcolor="black" stroked="f" strokeweight="0">
                  <v:stroke miterlimit="83231f" joinstyle="miter" endcap="square"/>
                  <v:path arrowok="t" textboxrect="0,0,404876,9525"/>
                </v:shape>
                <v:shape id="Shape 54" o:spid="_x0000_s1070" style="position:absolute;left:51601;top:6437;width:95;height:22694;visibility:visible;mso-wrap-style:square;v-text-anchor:top" coordsize="9525,22693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" path="m,l9525,9525r,2250312l,2269362,,xe" fillcolor="black" stroked="f" strokeweight="0">
                  <v:stroke miterlimit="83231f" joinstyle="miter" endcap="square"/>
                  <v:path arrowok="t" textboxrect="0,0,9525,2269362"/>
                </v:shape>
                <v:shape id="Shape 55" o:spid="_x0000_s1071" style="position:absolute;left:55554;top:6437;width:4243;height:95;visibility:visible;mso-wrap-style:square;v-text-anchor:top" coordsize="424307,9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" path="m,l424307,r-9525,9525l9525,9525,,xe" fillcolor="black" stroked="f" strokeweight="0">
                  <v:stroke miterlimit="83231f" joinstyle="miter" endcap="square"/>
                  <v:path arrowok="t" textboxrect="0,0,424307,9525"/>
                </v:shape>
                <v:shape id="Shape 56" o:spid="_x0000_s1072" style="position:absolute;left:59702;top:6437;width:95;height:22694;visibility:visible;mso-wrap-style:square;v-text-anchor:top" coordsize="9525,22693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" path="m9525,r,2269362l,2259837,,9525,9525,xe" fillcolor="black" stroked="f" strokeweight="0">
                  <v:stroke miterlimit="83231f" joinstyle="miter" endcap="square"/>
                  <v:path arrowok="t" textboxrect="0,0,9525,2269362"/>
                </v:shape>
                <v:shape id="Shape 57" o:spid="_x0000_s1073" style="position:absolute;left:55554;top:29036;width:4243;height:95;visibility:visible;mso-wrap-style:square;v-text-anchor:top" coordsize="424307,9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" path="m9525,l414782,r9525,9525l,9525,9525,xe" fillcolor="black" stroked="f" strokeweight="0">
                  <v:stroke miterlimit="83231f" joinstyle="miter" endcap="square"/>
                  <v:path arrowok="t" textboxrect="0,0,424307,9525"/>
                </v:shape>
                <v:shape id="Shape 58" o:spid="_x0000_s1074" style="position:absolute;left:55554;top:6437;width:96;height:22694;visibility:visible;mso-wrap-style:square;v-text-anchor:top" coordsize="9525,22693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" path="m,l9525,9525r,2250312l,2269362,,xe" fillcolor="black" stroked="f" strokeweight="0">
                  <v:stroke miterlimit="83231f" joinstyle="miter" endcap="square"/>
                  <v:path arrowok="t" textboxrect="0,0,9525,2269362"/>
                </v:shape>
                <v:shape id="Shape 59" o:spid="_x0000_s1075" style="position:absolute;left:59702;top:6437;width:4392;height:95;visibility:visible;mso-wrap-style:square;v-text-anchor:top" coordsize="439166,9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" path="m,l439166,r-9525,9525l9525,9525,,xe" fillcolor="black" stroked="f" strokeweight="0">
                  <v:stroke miterlimit="83231f" joinstyle="miter" endcap="square"/>
                  <v:path arrowok="t" textboxrect="0,0,439166,9525"/>
                </v:shape>
                <v:shape id="Shape 60" o:spid="_x0000_s1076" style="position:absolute;left:63999;top:6437;width:95;height:22694;visibility:visible;mso-wrap-style:square;v-text-anchor:top" coordsize="9525,22693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" path="m9525,r,2269362l,2259837,,9525,9525,xe" fillcolor="black" stroked="f" strokeweight="0">
                  <v:stroke miterlimit="83231f" joinstyle="miter" endcap="square"/>
                  <v:path arrowok="t" textboxrect="0,0,9525,2269362"/>
                </v:shape>
                <v:shape id="Shape 61" o:spid="_x0000_s1077" style="position:absolute;left:59702;top:29036;width:4392;height:95;visibility:visible;mso-wrap-style:square;v-text-anchor:top" coordsize="439166,9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" path="m9525,l429641,r9525,9525l,9525,9525,xe" fillcolor="black" stroked="f" strokeweight="0">
                  <v:stroke miterlimit="83231f" joinstyle="miter" endcap="square"/>
                  <v:path arrowok="t" textboxrect="0,0,439166,9525"/>
                </v:shape>
                <v:shape id="Shape 62" o:spid="_x0000_s1078" style="position:absolute;left:59702;top:6437;width:95;height:22694;visibility:visible;mso-wrap-style:square;v-text-anchor:top" coordsize="9525,22693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" path="m,l9525,9525r,2250312l,2269362,,xe" fillcolor="black" stroked="f" strokeweight="0">
                  <v:stroke miterlimit="83231f" joinstyle="miter" endcap="square"/>
                  <v:path arrowok="t" textboxrect="0,0,9525,2269362"/>
                </v:shape>
                <v:shape id="Shape 63" o:spid="_x0000_s1079" style="position:absolute;left:63999;top:6437;width:6572;height:95;visibility:visible;mso-wrap-style:square;v-text-anchor:top" coordsize="657225,9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" path="m,l657225,r-9525,9525l9525,9525,,xe" fillcolor="black" stroked="f" strokeweight="0">
                  <v:stroke miterlimit="83231f" joinstyle="miter" endcap="square"/>
                  <v:path arrowok="t" textboxrect="0,0,657225,9525"/>
                </v:shape>
                <v:shape id="Shape 64" o:spid="_x0000_s1080" style="position:absolute;left:70476;top:6437;width:95;height:22694;visibility:visible;mso-wrap-style:square;v-text-anchor:top" coordsize="9525,22693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" path="m9525,r,2269362l,2259837,,9525,9525,xe" fillcolor="black" stroked="f" strokeweight="0">
                  <v:stroke miterlimit="83231f" joinstyle="miter" endcap="square"/>
                  <v:path arrowok="t" textboxrect="0,0,9525,2269362"/>
                </v:shape>
                <v:shape id="Shape 65" o:spid="_x0000_s1081" style="position:absolute;left:63999;top:29036;width:6572;height:95;visibility:visible;mso-wrap-style:square;v-text-anchor:top" coordsize="657225,9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" path="m9525,l647700,r9525,9525l,9525,9525,xe" fillcolor="black" stroked="f" strokeweight="0">
                  <v:stroke miterlimit="83231f" joinstyle="miter" endcap="square"/>
                  <v:path arrowok="t" textboxrect="0,0,657225,9525"/>
                </v:shape>
                <v:shape id="Shape 66" o:spid="_x0000_s1082" style="position:absolute;left:63999;top:6437;width:95;height:22694;visibility:visible;mso-wrap-style:square;v-text-anchor:top" coordsize="9525,22693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" path="m,l9525,9525r,2250312l,2269362,,xe" fillcolor="black" stroked="f" strokeweight="0">
                  <v:stroke miterlimit="83231f" joinstyle="miter" endcap="square"/>
                  <v:path arrowok="t" textboxrect="0,0,9525,2269362"/>
                </v:shape>
                <v:rect id="Rectangle 102" o:spid="_x0000_s1083" style="position:absolute;left:190;top:2203;width:2434;height:10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" filled="f" stroked="f">
                  <v:textbox inset="0,0,0,0">
                    <w:txbxContent>
                      <w:p w14:paraId="3A739BB2" w14:textId="77777777" w:rsidR="00F20451" w:rsidRDefault="00F20451" w:rsidP="00F20451">
                        <w:r>
                          <w:rPr>
                            <w:rFonts w:ascii="Arial" w:eastAsia="Arial" w:hAnsi="Arial" w:cs="Arial"/>
                            <w:b/>
                            <w:sz w:val="14"/>
                          </w:rPr>
                          <w:t>Item</w:t>
                        </w:r>
                      </w:p>
                    </w:txbxContent>
                  </v:textbox>
                </v:rect>
                <v:rect id="Rectangle 103" o:spid="_x0000_s1084" style="position:absolute;left:2310;top:2203;width:7897;height:10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" filled="f" stroked="f">
                  <v:textbox inset="0,0,0,0">
                    <w:txbxContent>
                      <w:p w14:paraId="35D6529A" w14:textId="77777777" w:rsidR="00F20451" w:rsidRDefault="00F20451" w:rsidP="00F20451">
                        <w:r>
                          <w:rPr>
                            <w:rFonts w:ascii="Arial" w:eastAsia="Arial" w:hAnsi="Arial" w:cs="Arial"/>
                            <w:b/>
                            <w:sz w:val="14"/>
                          </w:rPr>
                          <w:t>Especificação</w:t>
                        </w:r>
                      </w:p>
                    </w:txbxContent>
                  </v:textbox>
                </v:rect>
                <v:rect id="Rectangle 104" o:spid="_x0000_s1085" style="position:absolute;left:47543;top:2203;width:4078;height:10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" filled="f" stroked="f">
                  <v:textbox inset="0,0,0,0">
                    <w:txbxContent>
                      <w:p w14:paraId="78D4E9FB" w14:textId="77777777" w:rsidR="00F20451" w:rsidRDefault="00F20451" w:rsidP="00F20451">
                        <w:r>
                          <w:rPr>
                            <w:rFonts w:ascii="Arial" w:eastAsia="Arial" w:hAnsi="Arial" w:cs="Arial"/>
                            <w:b/>
                            <w:sz w:val="14"/>
                          </w:rPr>
                          <w:t>Código</w:t>
                        </w:r>
                      </w:p>
                    </w:txbxContent>
                  </v:textbox>
                </v:rect>
                <v:rect id="Rectangle 105" o:spid="_x0000_s1086" style="position:absolute;left:51791;top:2203;width:2631;height:10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" filled="f" stroked="f">
                  <v:textbox inset="0,0,0,0">
                    <w:txbxContent>
                      <w:p w14:paraId="666F9C89" w14:textId="77777777" w:rsidR="00F20451" w:rsidRDefault="00F20451" w:rsidP="00F20451">
                        <w:r>
                          <w:rPr>
                            <w:rFonts w:ascii="Arial" w:eastAsia="Arial" w:hAnsi="Arial" w:cs="Arial"/>
                            <w:b/>
                            <w:sz w:val="14"/>
                          </w:rPr>
                          <w:t xml:space="preserve">Cód </w:t>
                        </w:r>
                      </w:p>
                    </w:txbxContent>
                  </v:textbox>
                </v:rect>
                <v:rect id="Rectangle 106" o:spid="_x0000_s1087" style="position:absolute;left:51791;top:3998;width:4870;height:10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" filled="f" stroked="f">
                  <v:textbox inset="0,0,0,0">
                    <w:txbxContent>
                      <w:p w14:paraId="277CD189" w14:textId="77777777" w:rsidR="00F20451" w:rsidRDefault="00F20451" w:rsidP="00F20451">
                        <w:r>
                          <w:rPr>
                            <w:rFonts w:ascii="Arial" w:eastAsia="Arial" w:hAnsi="Arial" w:cs="Arial"/>
                            <w:b/>
                            <w:sz w:val="14"/>
                          </w:rPr>
                          <w:t>Siafisico</w:t>
                        </w:r>
                      </w:p>
                    </w:txbxContent>
                  </v:textbox>
                </v:rect>
                <v:rect id="Rectangle 107" o:spid="_x0000_s1088" style="position:absolute;left:55745;top:2203;width:5129;height:10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" filled="f" stroked="f">
                  <v:textbox inset="0,0,0,0">
                    <w:txbxContent>
                      <w:p w14:paraId="00CC6A4A" w14:textId="77777777" w:rsidR="00F20451" w:rsidRDefault="00F20451" w:rsidP="00F20451">
                        <w:r>
                          <w:rPr>
                            <w:rFonts w:ascii="Arial" w:eastAsia="Arial" w:hAnsi="Arial" w:cs="Arial"/>
                            <w:b/>
                            <w:sz w:val="14"/>
                          </w:rPr>
                          <w:t>CADMAT</w:t>
                        </w:r>
                      </w:p>
                    </w:txbxContent>
                  </v:textbox>
                </v:rect>
                <v:rect id="Rectangle 108" o:spid="_x0000_s1089" style="position:absolute;left:59893;top:2203;width:5000;height:10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" filled="f" stroked="f">
                  <v:textbox inset="0,0,0,0">
                    <w:txbxContent>
                      <w:p w14:paraId="1931D17B" w14:textId="77777777" w:rsidR="00F20451" w:rsidRDefault="00F20451" w:rsidP="00F20451">
                        <w:r>
                          <w:rPr>
                            <w:rFonts w:ascii="Arial" w:eastAsia="Arial" w:hAnsi="Arial" w:cs="Arial"/>
                            <w:b/>
                            <w:sz w:val="14"/>
                          </w:rPr>
                          <w:t xml:space="preserve">Unid. de </w:t>
                        </w:r>
                      </w:p>
                    </w:txbxContent>
                  </v:textbox>
                </v:rect>
                <v:rect id="Rectangle 109" o:spid="_x0000_s1090" style="position:absolute;left:59893;top:3998;width:4079;height:10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" filled="f" stroked="f">
                  <v:textbox inset="0,0,0,0">
                    <w:txbxContent>
                      <w:p w14:paraId="14007C40" w14:textId="77777777" w:rsidR="00F20451" w:rsidRDefault="00F20451" w:rsidP="00F20451">
                        <w:r>
                          <w:rPr>
                            <w:rFonts w:ascii="Arial" w:eastAsia="Arial" w:hAnsi="Arial" w:cs="Arial"/>
                            <w:b/>
                            <w:sz w:val="14"/>
                          </w:rPr>
                          <w:t>Medida</w:t>
                        </w:r>
                      </w:p>
                    </w:txbxContent>
                  </v:textbox>
                </v:rect>
                <v:rect id="Rectangle 110" o:spid="_x0000_s1091" style="position:absolute;left:64189;top:2203;width:6514;height:10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" filled="f" stroked="f">
                  <v:textbox inset="0,0,0,0">
                    <w:txbxContent>
                      <w:p w14:paraId="54BAD449" w14:textId="77777777" w:rsidR="00F20451" w:rsidRDefault="00F20451" w:rsidP="00F20451">
                        <w:r>
                          <w:rPr>
                            <w:rFonts w:ascii="Arial" w:eastAsia="Arial" w:hAnsi="Arial" w:cs="Arial"/>
                            <w:b/>
                            <w:sz w:val="14"/>
                          </w:rPr>
                          <w:t>Quantidade</w:t>
                        </w:r>
                      </w:p>
                    </w:txbxContent>
                  </v:textbox>
                </v:rect>
                <v:rect id="Rectangle 111" o:spid="_x0000_s1092" style="position:absolute;left:190;top:8641;width:658;height:10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" filled="f" stroked="f">
                  <v:textbox inset="0,0,0,0">
                    <w:txbxContent>
                      <w:p w14:paraId="1CF7E533" w14:textId="77777777" w:rsidR="00F20451" w:rsidRDefault="00F20451" w:rsidP="00F20451">
                        <w:r>
                          <w:rPr>
                            <w:rFonts w:ascii="Arial" w:eastAsia="Arial" w:hAnsi="Arial" w:cs="Arial"/>
                            <w:sz w:val="14"/>
                          </w:rPr>
                          <w:t>1</w:t>
                        </w:r>
                      </w:p>
                    </w:txbxContent>
                  </v:textbox>
                </v:rect>
                <v:rect id="Rectangle 112" o:spid="_x0000_s1093" style="position:absolute;left:2310;top:8641;width:59754;height:10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" filled="f" stroked="f">
                  <v:textbox inset="0,0,0,0">
                    <w:txbxContent>
                      <w:p w14:paraId="14CFF60E" w14:textId="77777777" w:rsidR="00F20451" w:rsidRDefault="00F20451" w:rsidP="00F20451">
                        <w:r>
                          <w:rPr>
                            <w:rFonts w:ascii="Arial" w:eastAsia="Arial" w:hAnsi="Arial" w:cs="Arial"/>
                            <w:sz w:val="14"/>
                          </w:rPr>
                          <w:t>AVENTAL DE PROTECAO PARA ASSISTENCIA AO PACIENTE, COR AMARELA, EM SMS, GRAMATURA</w:t>
                        </w:r>
                      </w:p>
                    </w:txbxContent>
                  </v:textbox>
                </v:rect>
                <v:rect id="Rectangle 113" o:spid="_x0000_s1094" style="position:absolute;left:2310;top:10437;width:59759;height:10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" filled="f" stroked="f">
                  <v:textbox inset="0,0,0,0">
                    <w:txbxContent>
                      <w:p w14:paraId="0CC49B93" w14:textId="77777777" w:rsidR="00F20451" w:rsidRDefault="00F20451" w:rsidP="00F20451">
                        <w:r>
                          <w:rPr>
                            <w:rFonts w:ascii="Arial" w:eastAsia="Arial" w:hAnsi="Arial" w:cs="Arial"/>
                            <w:sz w:val="14"/>
                          </w:rPr>
                          <w:t>MINIMA 30G/M², DIMENSOES MINIMAS DE 1,20 M DE COMPRIMENTO E 1,40 M DE LARGURA, ATOXICO,</w:t>
                        </w:r>
                      </w:p>
                    </w:txbxContent>
                  </v:textbox>
                </v:rect>
                <v:rect id="Rectangle 114" o:spid="_x0000_s1095" style="position:absolute;left:2310;top:12233;width:59757;height:10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" filled="f" stroked="f">
                  <v:textbox inset="0,0,0,0">
                    <w:txbxContent>
                      <w:p w14:paraId="6E57A3E0" w14:textId="77777777" w:rsidR="00F20451" w:rsidRDefault="00F20451" w:rsidP="00F20451">
                        <w:r>
                          <w:rPr>
                            <w:rFonts w:ascii="Arial" w:eastAsia="Arial" w:hAnsi="Arial" w:cs="Arial"/>
                            <w:sz w:val="14"/>
                          </w:rPr>
                          <w:t>HIDRO/HEMORREPELENTE, HIPOALERGENICO, RESPIRAVEL E COM BAIXO DESPRENDIMENTO DE</w:t>
                        </w:r>
                      </w:p>
                    </w:txbxContent>
                  </v:textbox>
                </v:rect>
                <v:rect id="Rectangle 115" o:spid="_x0000_s1096" style="position:absolute;left:2310;top:14029;width:59754;height:10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" filled="f" stroked="f">
                  <v:textbox inset="0,0,0,0">
                    <w:txbxContent>
                      <w:p w14:paraId="56B13369" w14:textId="77777777" w:rsidR="00F20451" w:rsidRDefault="00F20451" w:rsidP="00F20451">
                        <w:r>
                          <w:rPr>
                            <w:rFonts w:ascii="Arial" w:eastAsia="Arial" w:hAnsi="Arial" w:cs="Arial"/>
                            <w:sz w:val="14"/>
                          </w:rPr>
                          <w:t>PARTICULAS. MANGA LONGA, PUNHO COM ELASTICO OU MALHA CANELADA; DECOTE CARECA COM</w:t>
                        </w:r>
                      </w:p>
                    </w:txbxContent>
                  </v:textbox>
                </v:rect>
                <v:rect id="Rectangle 116" o:spid="_x0000_s1097" style="position:absolute;left:2310;top:15823;width:59754;height:10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" filled="f" stroked="f">
                  <v:textbox inset="0,0,0,0">
                    <w:txbxContent>
                      <w:p w14:paraId="23C85DBB" w14:textId="77777777" w:rsidR="00F20451" w:rsidRDefault="00F20451" w:rsidP="00F20451">
                        <w:r>
                          <w:rPr>
                            <w:rFonts w:ascii="Arial" w:eastAsia="Arial" w:hAnsi="Arial" w:cs="Arial"/>
                            <w:sz w:val="14"/>
                          </w:rPr>
                          <w:t>ACABAMENTO EM VIES NA GOLA, COM 02 TIRAS COSTURADAS OU SELADAS,  COMPRIMENTO MINIMO</w:t>
                        </w:r>
                      </w:p>
                    </w:txbxContent>
                  </v:textbox>
                </v:rect>
                <v:rect id="Rectangle 117" o:spid="_x0000_s1098" style="position:absolute;left:2310;top:17619;width:59760;height:10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" filled="f" stroked="f">
                  <v:textbox inset="0,0,0,0">
                    <w:txbxContent>
                      <w:p w14:paraId="6CD921FF" w14:textId="77777777" w:rsidR="00F20451" w:rsidRDefault="00F20451" w:rsidP="00F20451">
                        <w:r>
                          <w:rPr>
                            <w:rFonts w:ascii="Arial" w:eastAsia="Arial" w:hAnsi="Arial" w:cs="Arial"/>
                            <w:sz w:val="14"/>
                          </w:rPr>
                          <w:t>DE 25 CM CADA, QUE PERMITA FECHAMENTO ADEQUADO NO PESCOCO; 02 TIRAS COSTURADAS OU</w:t>
                        </w:r>
                      </w:p>
                    </w:txbxContent>
                  </v:textbox>
                </v:rect>
                <v:rect id="Rectangle 118" o:spid="_x0000_s1099" style="position:absolute;left:2310;top:19415;width:59756;height:10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" filled="f" stroked="f">
                  <v:textbox inset="0,0,0,0">
                    <w:txbxContent>
                      <w:p w14:paraId="74C6E8EC" w14:textId="77777777" w:rsidR="00F20451" w:rsidRDefault="00F20451" w:rsidP="00F20451">
                        <w:r>
                          <w:rPr>
                            <w:rFonts w:ascii="Arial" w:eastAsia="Arial" w:hAnsi="Arial" w:cs="Arial"/>
                            <w:sz w:val="14"/>
                          </w:rPr>
                          <w:t>SELADAS  NA CINTURA, COM COMPRIMENTO TOTAL MÍNIMO DE 1,80 M, QUE PERMITA FECHAMENTO</w:t>
                        </w:r>
                      </w:p>
                    </w:txbxContent>
                  </v:textbox>
                </v:rect>
                <v:rect id="Rectangle 119" o:spid="_x0000_s1100" style="position:absolute;left:2310;top:21211;width:59758;height:10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" filled="f" stroked="f">
                  <v:textbox inset="0,0,0,0">
                    <w:txbxContent>
                      <w:p w14:paraId="4A3E62EF" w14:textId="77777777" w:rsidR="00F20451" w:rsidRDefault="00F20451" w:rsidP="00F20451">
                        <w:r>
                          <w:rPr>
                            <w:rFonts w:ascii="Arial" w:eastAsia="Arial" w:hAnsi="Arial" w:cs="Arial"/>
                            <w:sz w:val="14"/>
                          </w:rPr>
                          <w:t>TRANSPASSADO, PROPORCIONANDO PROTECAO TOTAL DAS COSTAS. TODAS AS COSTURAS DO</w:t>
                        </w:r>
                      </w:p>
                    </w:txbxContent>
                  </v:textbox>
                </v:rect>
                <v:rect id="Rectangle 120" o:spid="_x0000_s1101" style="position:absolute;left:2310;top:23005;width:59757;height:10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" filled="f" stroked="f">
                  <v:textbox inset="0,0,0,0">
                    <w:txbxContent>
                      <w:p w14:paraId="2B092F14" w14:textId="77777777" w:rsidR="00F20451" w:rsidRDefault="00F20451" w:rsidP="00F20451">
                        <w:r>
                          <w:rPr>
                            <w:rFonts w:ascii="Arial" w:eastAsia="Arial" w:hAnsi="Arial" w:cs="Arial"/>
                            <w:sz w:val="14"/>
                          </w:rPr>
                          <w:t>AVENTAL COM ACABAMENTO EM OVERLOQUE OU SELADA.  EMBALAGEM QUE GARANTA A</w:t>
                        </w:r>
                      </w:p>
                    </w:txbxContent>
                  </v:textbox>
                </v:rect>
                <v:rect id="Rectangle 121" o:spid="_x0000_s1102" style="position:absolute;left:2310;top:24801;width:59754;height:10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" filled="f" stroked="f">
                  <v:textbox inset="0,0,0,0">
                    <w:txbxContent>
                      <w:p w14:paraId="6CDD7A62" w14:textId="77777777" w:rsidR="00F20451" w:rsidRDefault="00F20451" w:rsidP="00F20451">
                        <w:r>
                          <w:rPr>
                            <w:rFonts w:ascii="Arial" w:eastAsia="Arial" w:hAnsi="Arial" w:cs="Arial"/>
                            <w:sz w:val="14"/>
                          </w:rPr>
                          <w:t>INTEGRIDADE DO PRODUTO, EM CONFORMIDADE COM A LEGISLACAO VIGENTE-  ANVISA; ANEXAR</w:t>
                        </w:r>
                      </w:p>
                    </w:txbxContent>
                  </v:textbox>
                </v:rect>
                <v:rect id="Rectangle 122" o:spid="_x0000_s1103" style="position:absolute;left:2310;top:26597;width:43886;height:10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" filled="f" stroked="f">
                  <v:textbox inset="0,0,0,0">
                    <w:txbxContent>
                      <w:p w14:paraId="11ACBEDC" w14:textId="77777777" w:rsidR="00F20451" w:rsidRDefault="00F20451" w:rsidP="00F20451">
                        <w:r>
                          <w:rPr>
                            <w:rFonts w:ascii="Arial" w:eastAsia="Arial" w:hAnsi="Arial" w:cs="Arial"/>
                            <w:sz w:val="14"/>
                          </w:rPr>
                          <w:t>LAUDO DE GRAMATURA E LAUDO DE BFE, AMBOS DE NO MAXIMO 02 ANOS.</w:t>
                        </w:r>
                      </w:p>
                    </w:txbxContent>
                  </v:textbox>
                </v:rect>
                <v:rect id="Rectangle 123" o:spid="_x0000_s1104" style="position:absolute;left:47543;top:8641;width:5267;height:10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" filled="f" stroked="f">
                  <v:textbox inset="0,0,0,0">
                    <w:txbxContent>
                      <w:p w14:paraId="70A85D6F" w14:textId="77777777" w:rsidR="00F20451" w:rsidRDefault="00F20451" w:rsidP="00F20451">
                        <w:r>
                          <w:rPr>
                            <w:rFonts w:ascii="Arial" w:eastAsia="Arial" w:hAnsi="Arial" w:cs="Arial"/>
                            <w:sz w:val="14"/>
                          </w:rPr>
                          <w:t>61230140</w:t>
                        </w:r>
                      </w:p>
                    </w:txbxContent>
                  </v:textbox>
                </v:rect>
                <v:rect id="Rectangle 124" o:spid="_x0000_s1105" style="position:absolute;left:51791;top:8641;width:4609;height:10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" filled="f" stroked="f">
                  <v:textbox inset="0,0,0,0">
                    <w:txbxContent>
                      <w:p w14:paraId="7DFED4E5" w14:textId="77777777" w:rsidR="00F20451" w:rsidRDefault="00F20451" w:rsidP="00F20451">
                        <w:r>
                          <w:rPr>
                            <w:rFonts w:ascii="Arial" w:eastAsia="Arial" w:hAnsi="Arial" w:cs="Arial"/>
                            <w:sz w:val="14"/>
                          </w:rPr>
                          <w:t>5022231</w:t>
                        </w:r>
                      </w:p>
                    </w:txbxContent>
                  </v:textbox>
                </v:rect>
                <v:rect id="Rectangle 125" o:spid="_x0000_s1106" style="position:absolute;left:55745;top:8641;width:3950;height:10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" filled="f" stroked="f">
                  <v:textbox inset="0,0,0,0">
                    <w:txbxContent>
                      <w:p w14:paraId="3AB48EFE" w14:textId="77777777" w:rsidR="00F20451" w:rsidRDefault="00F20451" w:rsidP="00F20451">
                        <w:r>
                          <w:rPr>
                            <w:rFonts w:ascii="Arial" w:eastAsia="Arial" w:hAnsi="Arial" w:cs="Arial"/>
                            <w:sz w:val="14"/>
                          </w:rPr>
                          <w:t>604955</w:t>
                        </w:r>
                      </w:p>
                    </w:txbxContent>
                  </v:textbox>
                </v:rect>
                <v:rect id="Rectangle 126" o:spid="_x0000_s1107" style="position:absolute;left:59893;top:8641;width:5328;height:10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" filled="f" stroked="f">
                  <v:textbox inset="0,0,0,0">
                    <w:txbxContent>
                      <w:p w14:paraId="5F19EA68" w14:textId="77777777" w:rsidR="00F20451" w:rsidRDefault="00F20451" w:rsidP="00F20451">
                        <w:r>
                          <w:rPr>
                            <w:rFonts w:ascii="Arial" w:eastAsia="Arial" w:hAnsi="Arial" w:cs="Arial"/>
                            <w:sz w:val="14"/>
                          </w:rPr>
                          <w:t>UNIDADE</w:t>
                        </w:r>
                      </w:p>
                    </w:txbxContent>
                  </v:textbox>
                </v:rect>
                <v:rect id="Rectangle 127" o:spid="_x0000_s1108" style="position:absolute;left:64189;top:8641;width:8229;height:10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" filled="f" stroked="f">
                  <v:textbox inset="0,0,0,0">
                    <w:txbxContent>
                      <w:p w14:paraId="144961AE" w14:textId="77777777" w:rsidR="00F20451" w:rsidRDefault="00F20451" w:rsidP="00F20451">
                        <w:r>
                          <w:rPr>
                            <w:rFonts w:ascii="Arial" w:eastAsia="Arial" w:hAnsi="Arial" w:cs="Arial"/>
                            <w:sz w:val="14"/>
                          </w:rPr>
                          <w:t>1.073.668,0000</w:t>
                        </w:r>
                      </w:p>
                    </w:txbxContent>
                  </v:textbox>
                </v:rect>
                <w10:anchorlock/>
              </v:group>
            </w:pict>
          </mc:Fallback>
        </mc:AlternateContent>
      </w:r>
    </w:p>
    <w:p w14:paraId="3659CB66" w14:textId="77777777" w:rsidR="00F20451" w:rsidRDefault="00F20451" w:rsidP="00F20451">
      <w:pPr>
        <w:spacing w:after="195"/>
      </w:pPr>
      <w:r>
        <w:rPr>
          <w:rFonts w:ascii="Calibri" w:eastAsia="Calibri" w:hAnsi="Calibri" w:cs="Calibri"/>
          <w:sz w:val="18"/>
        </w:rPr>
        <w:t xml:space="preserve"> </w:t>
      </w:r>
    </w:p>
    <w:p w14:paraId="2DDCC98B" w14:textId="77777777" w:rsidR="00F20451" w:rsidRDefault="00F20451" w:rsidP="00F20451">
      <w:pPr>
        <w:spacing w:after="215" w:line="256" w:lineRule="auto"/>
        <w:ind w:left="-5" w:hanging="10"/>
      </w:pPr>
      <w:r>
        <w:rPr>
          <w:rFonts w:ascii="Calibri" w:eastAsia="Calibri" w:hAnsi="Calibri" w:cs="Calibri"/>
          <w:sz w:val="18"/>
        </w:rPr>
        <w:t>1.1.1. Em caso de eventual divergência entre a descrição do item do catálogo do sistema Compras.gov.br e as disposições deste Termo  de Referência, prevalecem as disposições deste Termo de Referência.</w:t>
      </w:r>
    </w:p>
    <w:p w14:paraId="0A2CA9E6" w14:textId="77777777" w:rsidR="00F20451" w:rsidRDefault="00F20451" w:rsidP="00F20451">
      <w:pPr>
        <w:spacing w:after="215" w:line="256" w:lineRule="auto"/>
        <w:ind w:left="-5" w:hanging="10"/>
      </w:pPr>
      <w:r>
        <w:rPr>
          <w:rFonts w:ascii="Calibri" w:eastAsia="Calibri" w:hAnsi="Calibri" w:cs="Calibri"/>
          <w:sz w:val="18"/>
        </w:rPr>
        <w:t xml:space="preserve">1.1.2. Este Termo de Referência foi elaborado em conformidade com o </w:t>
      </w:r>
      <w:r>
        <w:rPr>
          <w:rFonts w:ascii="Arial" w:eastAsia="Arial" w:hAnsi="Arial" w:cs="Arial"/>
          <w:color w:val="000080"/>
          <w:sz w:val="18"/>
          <w:u w:val="single" w:color="000080"/>
        </w:rPr>
        <w:t>Decreto estadual nº 68.017, de 11 de outubro de 2023</w:t>
      </w:r>
      <w:r>
        <w:rPr>
          <w:rFonts w:ascii="Arial" w:eastAsia="Arial" w:hAnsi="Arial" w:cs="Arial"/>
          <w:sz w:val="18"/>
        </w:rPr>
        <w:t>.</w:t>
      </w:r>
    </w:p>
    <w:p w14:paraId="6E7E8C35" w14:textId="77777777" w:rsidR="00F20451" w:rsidRDefault="00F20451" w:rsidP="00F20451">
      <w:pPr>
        <w:spacing w:after="234" w:line="283" w:lineRule="auto"/>
        <w:ind w:left="10" w:hanging="10"/>
        <w:jc w:val="both"/>
      </w:pPr>
      <w:r>
        <w:rPr>
          <w:rFonts w:ascii="Arial" w:eastAsia="Arial" w:hAnsi="Arial" w:cs="Arial"/>
          <w:sz w:val="20"/>
        </w:rPr>
        <w:t xml:space="preserve">1.2. Os bens objeto desta contratação são caracterizados como comuns, conforme justificativa constante do Estudo Técnico Preliminar, elaborado nos termos do </w:t>
      </w:r>
      <w:r>
        <w:rPr>
          <w:rFonts w:ascii="Arial" w:eastAsia="Arial" w:hAnsi="Arial" w:cs="Arial"/>
          <w:color w:val="000080"/>
          <w:sz w:val="20"/>
          <w:u w:val="single" w:color="000080"/>
        </w:rPr>
        <w:t>Decreto estadual nº 68.017, de 11 de outubro de 2023</w:t>
      </w:r>
      <w:r>
        <w:rPr>
          <w:rFonts w:ascii="Arial" w:eastAsia="Arial" w:hAnsi="Arial" w:cs="Arial"/>
          <w:sz w:val="20"/>
        </w:rPr>
        <w:t>.</w:t>
      </w:r>
    </w:p>
    <w:p w14:paraId="07D5BB2D" w14:textId="77777777" w:rsidR="00F20451" w:rsidRDefault="00F20451" w:rsidP="00F20451">
      <w:pPr>
        <w:spacing w:after="234" w:line="283" w:lineRule="auto"/>
        <w:ind w:left="10" w:hanging="10"/>
        <w:jc w:val="both"/>
      </w:pPr>
      <w:r>
        <w:rPr>
          <w:rFonts w:ascii="Arial" w:eastAsia="Arial" w:hAnsi="Arial" w:cs="Arial"/>
          <w:sz w:val="20"/>
        </w:rPr>
        <w:t>1.3.</w:t>
      </w:r>
      <w:r>
        <w:rPr>
          <w:rFonts w:ascii="Arial" w:eastAsia="Arial" w:hAnsi="Arial" w:cs="Arial"/>
          <w:b/>
          <w:sz w:val="20"/>
        </w:rPr>
        <w:t xml:space="preserve"> </w:t>
      </w:r>
      <w:r>
        <w:rPr>
          <w:rFonts w:ascii="Arial" w:eastAsia="Arial" w:hAnsi="Arial" w:cs="Arial"/>
          <w:sz w:val="20"/>
        </w:rPr>
        <w:t>O objeto desta contratação não se enquadra como bem de luxo, observando o disposto no artigo 20 da Lei nº 14.133, de 2021 e no Decreto n° 67.985, de 27 de setembro de 2023.</w:t>
      </w:r>
    </w:p>
    <w:p w14:paraId="2D7A72CF" w14:textId="77777777" w:rsidR="00F20451" w:rsidRDefault="00F20451" w:rsidP="00F20451">
      <w:pPr>
        <w:spacing w:after="234" w:line="283" w:lineRule="auto"/>
        <w:ind w:left="10" w:hanging="10"/>
        <w:jc w:val="both"/>
      </w:pPr>
      <w:r>
        <w:rPr>
          <w:rFonts w:ascii="Arial" w:eastAsia="Arial" w:hAnsi="Arial" w:cs="Arial"/>
          <w:sz w:val="20"/>
        </w:rPr>
        <w:t>1.3.1.</w:t>
      </w:r>
      <w:r>
        <w:rPr>
          <w:rFonts w:ascii="Arial" w:eastAsia="Arial" w:hAnsi="Arial" w:cs="Arial"/>
          <w:b/>
          <w:sz w:val="20"/>
        </w:rPr>
        <w:t xml:space="preserve"> </w:t>
      </w:r>
      <w:r>
        <w:rPr>
          <w:rFonts w:ascii="Arial" w:eastAsia="Arial" w:hAnsi="Arial" w:cs="Arial"/>
          <w:sz w:val="20"/>
        </w:rPr>
        <w:t>A</w:t>
      </w:r>
      <w:r>
        <w:rPr>
          <w:rFonts w:ascii="Arial" w:eastAsia="Arial" w:hAnsi="Arial" w:cs="Arial"/>
          <w:b/>
          <w:sz w:val="20"/>
        </w:rPr>
        <w:t xml:space="preserve"> </w:t>
      </w:r>
      <w:r>
        <w:rPr>
          <w:rFonts w:ascii="Arial" w:eastAsia="Arial" w:hAnsi="Arial" w:cs="Arial"/>
          <w:sz w:val="20"/>
        </w:rPr>
        <w:t>contratação com os fornecedores registrados na ata será formalizada pelo órgão ou pela entidade interessada por meio de instrumento contratual ou emissão de nota de empenho de despesa</w:t>
      </w:r>
    </w:p>
    <w:p w14:paraId="4D933149" w14:textId="77777777" w:rsidR="00F20451" w:rsidRDefault="00F20451" w:rsidP="00F20451">
      <w:pPr>
        <w:spacing w:after="234" w:line="283" w:lineRule="auto"/>
        <w:ind w:left="10" w:hanging="10"/>
        <w:jc w:val="both"/>
      </w:pPr>
      <w:r>
        <w:rPr>
          <w:rFonts w:ascii="Arial" w:eastAsia="Arial" w:hAnsi="Arial" w:cs="Arial"/>
          <w:sz w:val="20"/>
        </w:rPr>
        <w:t>1.4.</w:t>
      </w:r>
      <w:r>
        <w:rPr>
          <w:rFonts w:ascii="Arial" w:eastAsia="Arial" w:hAnsi="Arial" w:cs="Arial"/>
          <w:b/>
          <w:sz w:val="20"/>
        </w:rPr>
        <w:t xml:space="preserve"> </w:t>
      </w:r>
      <w:r>
        <w:rPr>
          <w:rFonts w:ascii="Arial" w:eastAsia="Arial" w:hAnsi="Arial" w:cs="Arial"/>
          <w:sz w:val="20"/>
        </w:rPr>
        <w:t>A vigência dos contratos decorrentes do sistema de registro de preços será estabelecida no edital, observado o disposto no art. 105 da Lei nº 14.133, de 2021;</w:t>
      </w:r>
    </w:p>
    <w:p w14:paraId="22D69F4E" w14:textId="77777777" w:rsidR="00F20451" w:rsidRDefault="00F20451" w:rsidP="00F20451">
      <w:pPr>
        <w:spacing w:after="234" w:line="283" w:lineRule="auto"/>
        <w:ind w:left="10" w:hanging="10"/>
        <w:jc w:val="both"/>
      </w:pPr>
      <w:r>
        <w:rPr>
          <w:rFonts w:ascii="Arial" w:eastAsia="Arial" w:hAnsi="Arial" w:cs="Arial"/>
          <w:sz w:val="20"/>
        </w:rPr>
        <w:t>1.4.1.</w:t>
      </w:r>
      <w:r>
        <w:rPr>
          <w:rFonts w:ascii="Arial" w:eastAsia="Arial" w:hAnsi="Arial" w:cs="Arial"/>
          <w:b/>
          <w:sz w:val="20"/>
        </w:rPr>
        <w:t xml:space="preserve"> </w:t>
      </w:r>
      <w:r>
        <w:rPr>
          <w:rFonts w:ascii="Arial" w:eastAsia="Arial" w:hAnsi="Arial" w:cs="Arial"/>
          <w:sz w:val="20"/>
        </w:rPr>
        <w:t>O prazo de vigência da ata de registro de preços será de um ano, contado do primeiro dia útil subsequente à data de divulgação no PNCP, e poderá ser prorrogado por igual período, desde que comprovado que o preço é vantajoso.</w:t>
      </w:r>
    </w:p>
    <w:p w14:paraId="1EAA2863" w14:textId="77777777" w:rsidR="00F20451" w:rsidRDefault="00F20451" w:rsidP="00F20451">
      <w:pPr>
        <w:spacing w:after="40" w:line="283" w:lineRule="auto"/>
        <w:ind w:left="10" w:hanging="10"/>
        <w:jc w:val="both"/>
      </w:pPr>
      <w:r>
        <w:rPr>
          <w:rFonts w:ascii="Arial" w:eastAsia="Arial" w:hAnsi="Arial" w:cs="Arial"/>
          <w:sz w:val="20"/>
        </w:rPr>
        <w:t>1.5.</w:t>
      </w:r>
      <w:r>
        <w:rPr>
          <w:rFonts w:ascii="Arial" w:eastAsia="Arial" w:hAnsi="Arial" w:cs="Arial"/>
          <w:b/>
          <w:sz w:val="20"/>
        </w:rPr>
        <w:t xml:space="preserve"> </w:t>
      </w:r>
      <w:r>
        <w:rPr>
          <w:rFonts w:ascii="Arial" w:eastAsia="Arial" w:hAnsi="Arial" w:cs="Arial"/>
          <w:sz w:val="20"/>
        </w:rPr>
        <w:t>O contrato oferece maior detalhamento das regras que serão aplicadas em relação à vigência da contratação.</w:t>
      </w:r>
    </w:p>
    <w:p w14:paraId="00DC2886" w14:textId="77777777" w:rsidR="00F20451" w:rsidRDefault="00F20451" w:rsidP="00F20451">
      <w:pPr>
        <w:spacing w:after="242" w:line="283" w:lineRule="auto"/>
        <w:ind w:left="10" w:hanging="10"/>
        <w:jc w:val="both"/>
      </w:pPr>
      <w:r>
        <w:rPr>
          <w:rFonts w:ascii="Arial" w:eastAsia="Arial" w:hAnsi="Arial" w:cs="Arial"/>
          <w:sz w:val="20"/>
        </w:rPr>
        <w:t>Subcontratação.</w:t>
      </w:r>
    </w:p>
    <w:p w14:paraId="190B45E5" w14:textId="77777777" w:rsidR="00F20451" w:rsidRDefault="00F20451" w:rsidP="00F20451">
      <w:pPr>
        <w:spacing w:after="184" w:line="283" w:lineRule="auto"/>
        <w:ind w:left="10" w:hanging="10"/>
        <w:jc w:val="both"/>
      </w:pPr>
      <w:r>
        <w:rPr>
          <w:rFonts w:ascii="Arial" w:eastAsia="Arial" w:hAnsi="Arial" w:cs="Arial"/>
          <w:sz w:val="20"/>
        </w:rPr>
        <w:t>1.6.</w:t>
      </w:r>
      <w:r>
        <w:rPr>
          <w:rFonts w:ascii="Arial" w:eastAsia="Arial" w:hAnsi="Arial" w:cs="Arial"/>
          <w:b/>
          <w:sz w:val="20"/>
        </w:rPr>
        <w:t xml:space="preserve"> </w:t>
      </w:r>
      <w:r>
        <w:rPr>
          <w:rFonts w:ascii="Arial" w:eastAsia="Arial" w:hAnsi="Arial" w:cs="Arial"/>
          <w:sz w:val="20"/>
        </w:rPr>
        <w:t>A contratada não poderá subcontratar, ceder ou transferir, total ou parcialmente, o objeto contratual.</w:t>
      </w:r>
    </w:p>
    <w:p w14:paraId="608511EC" w14:textId="77777777" w:rsidR="00F20451" w:rsidRDefault="00F20451" w:rsidP="00F20451">
      <w:pPr>
        <w:spacing w:after="255"/>
      </w:pPr>
      <w:r>
        <w:rPr>
          <w:rFonts w:ascii="Calibri" w:eastAsia="Calibri" w:hAnsi="Calibri" w:cs="Calibri"/>
          <w:sz w:val="18"/>
        </w:rPr>
        <w:t xml:space="preserve"> </w:t>
      </w:r>
    </w:p>
    <w:p w14:paraId="6C0D64C2" w14:textId="77777777" w:rsidR="00F20451" w:rsidRPr="00CD5F87" w:rsidRDefault="00F20451" w:rsidP="00CD5F87">
      <w:pPr>
        <w:spacing w:after="0" w:line="240" w:lineRule="auto"/>
        <w:rPr>
          <w:rFonts w:ascii="Calibri Light" w:eastAsia="Times New Roman" w:hAnsi="Calibri Light" w:cs="Calibri Light"/>
          <w:b/>
          <w:bCs/>
          <w:color w:val="000000"/>
          <w:sz w:val="18"/>
          <w:szCs w:val="18"/>
          <w:lang w:eastAsia="pt-BR"/>
        </w:rPr>
      </w:pPr>
      <w:r w:rsidRPr="00CD5F87">
        <w:rPr>
          <w:rFonts w:ascii="Calibri Light" w:eastAsia="Times New Roman" w:hAnsi="Calibri Light" w:cs="Calibri Light"/>
          <w:b/>
          <w:bCs/>
          <w:color w:val="000000"/>
          <w:sz w:val="18"/>
          <w:szCs w:val="18"/>
          <w:lang w:eastAsia="pt-BR"/>
        </w:rPr>
        <w:lastRenderedPageBreak/>
        <w:t>2. FUNDAMENTAÇÃO E DESCRIÇÃO DA NECESSIDADE DA CONTRATAÇÃO</w:t>
      </w:r>
    </w:p>
    <w:p w14:paraId="58DF5CB6" w14:textId="77777777" w:rsidR="00F20451" w:rsidRDefault="00F20451" w:rsidP="00F20451">
      <w:pPr>
        <w:spacing w:after="245" w:line="283" w:lineRule="auto"/>
        <w:ind w:left="10" w:hanging="10"/>
        <w:jc w:val="both"/>
      </w:pPr>
      <w:r>
        <w:rPr>
          <w:rFonts w:ascii="Arial" w:eastAsia="Arial" w:hAnsi="Arial" w:cs="Arial"/>
          <w:sz w:val="20"/>
        </w:rPr>
        <w:t>2.1. A Fundamentação da Contratação e de seus quantitativos encontra-se pormenorizada em Tópico específico dos Estudo Técnico Preliminar, apêndice 1 deste Termo de Referência.</w:t>
      </w:r>
    </w:p>
    <w:p w14:paraId="0BF4A43D" w14:textId="77777777" w:rsidR="00F20451" w:rsidRDefault="00F20451" w:rsidP="00F20451">
      <w:pPr>
        <w:spacing w:after="171" w:line="313" w:lineRule="auto"/>
      </w:pPr>
      <w:r>
        <w:rPr>
          <w:rFonts w:ascii="Calibri" w:eastAsia="Calibri" w:hAnsi="Calibri" w:cs="Calibri"/>
          <w:sz w:val="17"/>
        </w:rPr>
        <w:t xml:space="preserve">2.2. O objeto da contratação está previsto no </w:t>
      </w:r>
      <w:r>
        <w:rPr>
          <w:rFonts w:ascii="Calibri" w:eastAsia="Calibri" w:hAnsi="Calibri" w:cs="Calibri"/>
          <w:b/>
          <w:sz w:val="21"/>
        </w:rPr>
        <w:t>Plano de Contratações Anual</w:t>
      </w:r>
      <w:r>
        <w:rPr>
          <w:rFonts w:ascii="Calibri" w:eastAsia="Calibri" w:hAnsi="Calibri" w:cs="Calibri"/>
          <w:sz w:val="17"/>
        </w:rPr>
        <w:t>, nos termos do Decreto estadual nº 67.689, de 3 de maio de 2023, conforme consta das informações básicas deste Termo de Referência.</w:t>
      </w:r>
    </w:p>
    <w:p w14:paraId="434D5DC6" w14:textId="77777777" w:rsidR="00F20451" w:rsidRDefault="00F20451" w:rsidP="00F20451">
      <w:pPr>
        <w:spacing w:after="255"/>
      </w:pPr>
      <w:r>
        <w:rPr>
          <w:rFonts w:ascii="Calibri" w:eastAsia="Calibri" w:hAnsi="Calibri" w:cs="Calibri"/>
          <w:sz w:val="18"/>
        </w:rPr>
        <w:t xml:space="preserve"> </w:t>
      </w:r>
    </w:p>
    <w:p w14:paraId="0A1355D1" w14:textId="77777777" w:rsidR="00F20451" w:rsidRPr="00CD5F87" w:rsidRDefault="00F20451" w:rsidP="00CD5F87">
      <w:pPr>
        <w:spacing w:after="0" w:line="240" w:lineRule="auto"/>
        <w:rPr>
          <w:rFonts w:ascii="Calibri Light" w:eastAsia="Times New Roman" w:hAnsi="Calibri Light" w:cs="Calibri Light"/>
          <w:b/>
          <w:bCs/>
          <w:color w:val="000000"/>
          <w:sz w:val="18"/>
          <w:szCs w:val="18"/>
          <w:lang w:eastAsia="pt-BR"/>
        </w:rPr>
      </w:pPr>
      <w:r w:rsidRPr="00CD5F87">
        <w:rPr>
          <w:rFonts w:ascii="Calibri Light" w:eastAsia="Times New Roman" w:hAnsi="Calibri Light" w:cs="Calibri Light"/>
          <w:b/>
          <w:bCs/>
          <w:color w:val="000000"/>
          <w:sz w:val="18"/>
          <w:szCs w:val="18"/>
          <w:lang w:eastAsia="pt-BR"/>
        </w:rPr>
        <w:t>3. DESCRIÇÃO DA SOLUÇÃO COMO UM TODO CONSIDERADO O CICLO DE VIDA DO OBJETO</w:t>
      </w:r>
    </w:p>
    <w:p w14:paraId="22CFE115" w14:textId="77777777" w:rsidR="00F20451" w:rsidRDefault="00F20451" w:rsidP="00F20451">
      <w:pPr>
        <w:spacing w:after="176" w:line="283" w:lineRule="auto"/>
        <w:ind w:left="10" w:hanging="10"/>
        <w:jc w:val="both"/>
      </w:pPr>
      <w:r>
        <w:rPr>
          <w:rFonts w:ascii="Arial" w:eastAsia="Arial" w:hAnsi="Arial" w:cs="Arial"/>
          <w:sz w:val="20"/>
        </w:rPr>
        <w:t>3.1</w:t>
      </w:r>
      <w:r>
        <w:rPr>
          <w:rFonts w:ascii="Arial" w:eastAsia="Arial" w:hAnsi="Arial" w:cs="Arial"/>
          <w:b/>
          <w:sz w:val="20"/>
        </w:rPr>
        <w:t xml:space="preserve">. </w:t>
      </w:r>
      <w:r>
        <w:rPr>
          <w:rFonts w:ascii="Arial" w:eastAsia="Arial" w:hAnsi="Arial" w:cs="Arial"/>
          <w:sz w:val="20"/>
        </w:rPr>
        <w:t>A descrição da solução como um todo encontra-se pormenorizada em tópico específico dos Estudos Técnicos Preliminares, apêndice 1 deste Termo de Referência.</w:t>
      </w:r>
    </w:p>
    <w:p w14:paraId="1BFAB846" w14:textId="77777777" w:rsidR="00F20451" w:rsidRDefault="00F20451" w:rsidP="00F20451">
      <w:pPr>
        <w:spacing w:after="255"/>
      </w:pPr>
      <w:r>
        <w:rPr>
          <w:rFonts w:ascii="Calibri" w:eastAsia="Calibri" w:hAnsi="Calibri" w:cs="Calibri"/>
          <w:sz w:val="18"/>
        </w:rPr>
        <w:t xml:space="preserve"> </w:t>
      </w:r>
    </w:p>
    <w:p w14:paraId="7C7C2081" w14:textId="77777777" w:rsidR="00F20451" w:rsidRPr="00CD5F87" w:rsidRDefault="00F20451" w:rsidP="00CD5F87">
      <w:pPr>
        <w:spacing w:after="0" w:line="240" w:lineRule="auto"/>
        <w:rPr>
          <w:rFonts w:ascii="Calibri Light" w:eastAsia="Times New Roman" w:hAnsi="Calibri Light" w:cs="Calibri Light"/>
          <w:b/>
          <w:bCs/>
          <w:color w:val="000000"/>
          <w:sz w:val="18"/>
          <w:szCs w:val="18"/>
          <w:lang w:eastAsia="pt-BR"/>
        </w:rPr>
      </w:pPr>
      <w:r w:rsidRPr="00CD5F87">
        <w:rPr>
          <w:rFonts w:ascii="Calibri Light" w:eastAsia="Times New Roman" w:hAnsi="Calibri Light" w:cs="Calibri Light"/>
          <w:b/>
          <w:bCs/>
          <w:color w:val="000000"/>
          <w:sz w:val="18"/>
          <w:szCs w:val="18"/>
          <w:lang w:eastAsia="pt-BR"/>
        </w:rPr>
        <w:t>4. REQUISITOS DA CONTRATAÇÃO</w:t>
      </w:r>
    </w:p>
    <w:p w14:paraId="40F7F537" w14:textId="77777777" w:rsidR="00F20451" w:rsidRDefault="00F20451" w:rsidP="00F20451">
      <w:pPr>
        <w:spacing w:after="262"/>
        <w:ind w:left="-5" w:hanging="10"/>
      </w:pPr>
      <w:r>
        <w:rPr>
          <w:rFonts w:ascii="Arial" w:eastAsia="Arial" w:hAnsi="Arial" w:cs="Arial"/>
          <w:b/>
          <w:sz w:val="20"/>
        </w:rPr>
        <w:t>Sustentabilidade:</w:t>
      </w:r>
    </w:p>
    <w:p w14:paraId="03871EAB" w14:textId="77777777" w:rsidR="00F20451" w:rsidRDefault="00F20451" w:rsidP="00F20451">
      <w:pPr>
        <w:spacing w:after="242" w:line="283" w:lineRule="auto"/>
        <w:ind w:left="10" w:hanging="10"/>
        <w:jc w:val="both"/>
      </w:pPr>
      <w:r>
        <w:rPr>
          <w:rFonts w:ascii="Arial" w:eastAsia="Arial" w:hAnsi="Arial" w:cs="Arial"/>
          <w:sz w:val="20"/>
        </w:rPr>
        <w:t xml:space="preserve">4.1. Só será admitida a oferta de produto previamente com autorização de comercialização pela ANVISA, </w:t>
      </w:r>
    </w:p>
    <w:p w14:paraId="71B037DF" w14:textId="77777777" w:rsidR="00F20451" w:rsidRDefault="00F20451" w:rsidP="00F20451">
      <w:pPr>
        <w:spacing w:after="40" w:line="283" w:lineRule="auto"/>
        <w:ind w:left="10" w:hanging="10"/>
        <w:jc w:val="both"/>
      </w:pPr>
      <w:r>
        <w:rPr>
          <w:rFonts w:ascii="Arial" w:eastAsia="Arial" w:hAnsi="Arial" w:cs="Arial"/>
          <w:sz w:val="20"/>
        </w:rPr>
        <w:t>4.1.1. Comprovação de registro/notificação do objeto licitado concedido pelo órgão sanitário competente do Ministério da</w:t>
      </w:r>
    </w:p>
    <w:p w14:paraId="105C573B" w14:textId="77777777" w:rsidR="00F20451" w:rsidRDefault="00F20451" w:rsidP="00F20451">
      <w:pPr>
        <w:spacing w:after="242" w:line="283" w:lineRule="auto"/>
        <w:ind w:left="10" w:hanging="10"/>
        <w:jc w:val="both"/>
      </w:pPr>
      <w:r>
        <w:rPr>
          <w:rFonts w:ascii="Arial" w:eastAsia="Arial" w:hAnsi="Arial" w:cs="Arial"/>
          <w:sz w:val="20"/>
        </w:rPr>
        <w:t>Saúde;</w:t>
      </w:r>
    </w:p>
    <w:p w14:paraId="418B3798" w14:textId="77777777" w:rsidR="00F20451" w:rsidRDefault="00F20451" w:rsidP="00F20451">
      <w:pPr>
        <w:spacing w:after="234" w:line="283" w:lineRule="auto"/>
        <w:ind w:left="10" w:hanging="10"/>
        <w:jc w:val="both"/>
      </w:pPr>
      <w:r>
        <w:rPr>
          <w:rFonts w:ascii="Arial" w:eastAsia="Arial" w:hAnsi="Arial" w:cs="Arial"/>
          <w:sz w:val="20"/>
        </w:rPr>
        <w:t>4.1.2. Estando o registro informado na alínea “a” vencido, a licitante deverá anexar cópia autenticada da solicitação de sua revalidação, acompanhada de cópia do registro vencido. A não apresentação do registro e do pedido de revalidação do produto (protocolo) implicará na desclassificação do item cotado;</w:t>
      </w:r>
    </w:p>
    <w:p w14:paraId="14E08ECC" w14:textId="77777777" w:rsidR="00F20451" w:rsidRDefault="00F20451" w:rsidP="00F20451">
      <w:pPr>
        <w:spacing w:after="184" w:line="283" w:lineRule="auto"/>
        <w:ind w:left="10" w:hanging="10"/>
        <w:jc w:val="both"/>
      </w:pPr>
      <w:r>
        <w:rPr>
          <w:rFonts w:ascii="Arial" w:eastAsia="Arial" w:hAnsi="Arial" w:cs="Arial"/>
          <w:sz w:val="20"/>
        </w:rPr>
        <w:t>4.1.3. Deverá ser anexada cópia da autorização de comercialização emitida pela ANVISA;</w:t>
      </w:r>
    </w:p>
    <w:p w14:paraId="05D2F404" w14:textId="77777777" w:rsidR="00F20451" w:rsidRDefault="00F20451" w:rsidP="00F20451">
      <w:pPr>
        <w:spacing w:after="201"/>
      </w:pPr>
      <w:r>
        <w:rPr>
          <w:rFonts w:ascii="Calibri" w:eastAsia="Calibri" w:hAnsi="Calibri" w:cs="Calibri"/>
          <w:sz w:val="18"/>
        </w:rPr>
        <w:t xml:space="preserve"> </w:t>
      </w:r>
    </w:p>
    <w:p w14:paraId="08E7F102" w14:textId="77777777" w:rsidR="00F20451" w:rsidRDefault="00F20451" w:rsidP="00F20451">
      <w:pPr>
        <w:pStyle w:val="Ttulo3"/>
        <w:spacing w:after="198"/>
        <w:ind w:left="-5"/>
      </w:pPr>
      <w:r>
        <w:rPr>
          <w:rFonts w:ascii="Calibri" w:eastAsia="Calibri" w:hAnsi="Calibri" w:cs="Calibri"/>
          <w:sz w:val="18"/>
        </w:rPr>
        <w:t>Da exigência de amostra</w:t>
      </w:r>
    </w:p>
    <w:p w14:paraId="45158C01" w14:textId="77777777" w:rsidR="00F20451" w:rsidRDefault="00F20451" w:rsidP="00F20451">
      <w:pPr>
        <w:spacing w:after="172" w:line="283" w:lineRule="auto"/>
        <w:ind w:left="10" w:hanging="10"/>
        <w:jc w:val="both"/>
      </w:pPr>
      <w:r>
        <w:rPr>
          <w:rFonts w:ascii="Arial" w:eastAsia="Arial" w:hAnsi="Arial" w:cs="Arial"/>
          <w:sz w:val="20"/>
        </w:rPr>
        <w:t>4.2. Na instituição há equipe dedicada ao serviço de gerenciamento de resíduos hospitalares, com processos e fluxos estabelecidos com base na legislação pertinente, de modo a realizar este trabalho de evitar impactos ambientais.</w:t>
      </w:r>
    </w:p>
    <w:p w14:paraId="66A8D7A1" w14:textId="77777777" w:rsidR="00F20451" w:rsidRDefault="00F20451" w:rsidP="00F20451">
      <w:pPr>
        <w:spacing w:after="197" w:line="262" w:lineRule="auto"/>
        <w:ind w:left="-5" w:hanging="10"/>
        <w:jc w:val="both"/>
      </w:pPr>
      <w:r>
        <w:rPr>
          <w:rFonts w:ascii="Calibri" w:eastAsia="Calibri" w:hAnsi="Calibri" w:cs="Calibri"/>
          <w:sz w:val="18"/>
        </w:rPr>
        <w:t>4.2.1 Havendo o aceite da proposta quanto ao valor, o interessado classificado provisoriamente em primeiro lugar deverá apresentar amostra, que que terá data, local e horário de realização do procedimento de avaliação divulgados por mensagem no sistema.</w:t>
      </w:r>
    </w:p>
    <w:p w14:paraId="76653073" w14:textId="77777777" w:rsidR="00F20451" w:rsidRDefault="00F20451" w:rsidP="00F20451">
      <w:pPr>
        <w:spacing w:after="279"/>
      </w:pPr>
      <w:r>
        <w:rPr>
          <w:rFonts w:ascii="Calibri" w:eastAsia="Calibri" w:hAnsi="Calibri" w:cs="Calibri"/>
          <w:sz w:val="18"/>
        </w:rPr>
        <w:t xml:space="preserve"> </w:t>
      </w:r>
    </w:p>
    <w:p w14:paraId="23009A60" w14:textId="77777777" w:rsidR="00F20451" w:rsidRDefault="00F20451" w:rsidP="00F20451">
      <w:pPr>
        <w:spacing w:after="204"/>
        <w:ind w:left="-5" w:hanging="10"/>
      </w:pPr>
      <w:r>
        <w:rPr>
          <w:rFonts w:ascii="Arial" w:eastAsia="Arial" w:hAnsi="Arial" w:cs="Arial"/>
          <w:b/>
          <w:sz w:val="20"/>
        </w:rPr>
        <w:t>4.3. Serão exigidas amostras dos seguintes i</w:t>
      </w:r>
      <w:r>
        <w:rPr>
          <w:rFonts w:ascii="Calibri" w:eastAsia="Calibri" w:hAnsi="Calibri" w:cs="Calibri"/>
          <w:b/>
          <w:sz w:val="18"/>
        </w:rPr>
        <w:t>tens:</w:t>
      </w:r>
    </w:p>
    <w:p w14:paraId="692F0C3F" w14:textId="77777777" w:rsidR="00F20451" w:rsidRDefault="00F20451" w:rsidP="00F20451">
      <w:pPr>
        <w:spacing w:after="0"/>
      </w:pPr>
      <w:r>
        <w:rPr>
          <w:rFonts w:ascii="Calibri" w:eastAsia="Calibri" w:hAnsi="Calibri" w:cs="Calibri"/>
          <w:sz w:val="18"/>
        </w:rPr>
        <w:t xml:space="preserve"> </w:t>
      </w:r>
    </w:p>
    <w:p w14:paraId="4CF5AFA4" w14:textId="77777777" w:rsidR="00F20451" w:rsidRDefault="00F20451" w:rsidP="00CD5F87">
      <w:pPr>
        <w:spacing w:after="211"/>
        <w:ind w:left="-426" w:right="-16"/>
      </w:pPr>
      <w:r>
        <w:rPr>
          <w:noProof/>
        </w:rPr>
        <mc:AlternateContent>
          <mc:Choice Requires="wpg">
            <w:drawing>
              <wp:inline distT="0" distB="0" distL="0" distR="0" wp14:anchorId="61DFC65D" wp14:editId="60C9C1BD">
                <wp:extent cx="7057136" cy="644906"/>
                <wp:effectExtent l="0" t="0" r="0" b="0"/>
                <wp:docPr id="14267" name="Group 14267"/>
                <wp:cNvGraphicFramePr/>
                <a:graphic xmlns:a="http://schemas.openxmlformats.org/drawingml/2006/main">
                  <a:graphicData uri="http://schemas.microsoft.com/office/word/2010/wordprocessingGroup">
                    <wpg:wgp>
                      <wpg:cNvGrpSpPr/>
                      <wpg:grpSpPr>
                        <a:xfrm>
                          <a:off x="0" y="0"/>
                          <a:ext cx="7057136" cy="644906"/>
                          <a:chOff x="0" y="0"/>
                          <a:chExt cx="7057136" cy="644906"/>
                        </a:xfrm>
                      </wpg:grpSpPr>
                      <wps:wsp>
                        <wps:cNvPr id="245" name="Shape 245"/>
                        <wps:cNvSpPr/>
                        <wps:spPr>
                          <a:xfrm>
                            <a:off x="0" y="0"/>
                            <a:ext cx="3513328" cy="9525"/>
                          </a:xfrm>
                          <a:custGeom>
                            <a:avLst/>
                            <a:gdLst/>
                            <a:ahLst/>
                            <a:cxnLst/>
                            <a:rect l="0" t="0" r="0" b="0"/>
                            <a:pathLst>
                              <a:path w="3513328" h="9525">
                                <a:moveTo>
                                  <a:pt x="0" y="0"/>
                                </a:moveTo>
                                <a:lnTo>
                                  <a:pt x="3513328" y="0"/>
                                </a:lnTo>
                                <a:lnTo>
                                  <a:pt x="3503803" y="9525"/>
                                </a:lnTo>
                                <a:lnTo>
                                  <a:pt x="9525" y="9525"/>
                                </a:lnTo>
                                <a:lnTo>
                                  <a:pt x="0" y="0"/>
                                </a:lnTo>
                                <a:close/>
                              </a:path>
                            </a:pathLst>
                          </a:custGeom>
                          <a:ln w="0" cap="sq">
                            <a:miter lim="127000"/>
                          </a:ln>
                        </wps:spPr>
                        <wps:style>
                          <a:lnRef idx="0">
                            <a:srgbClr val="000000">
                              <a:alpha val="0"/>
                            </a:srgbClr>
                          </a:lnRef>
                          <a:fillRef idx="1">
                            <a:srgbClr val="000000"/>
                          </a:fillRef>
                          <a:effectRef idx="0">
                            <a:scrgbClr r="0" g="0" b="0"/>
                          </a:effectRef>
                          <a:fontRef idx="none"/>
                        </wps:style>
                        <wps:bodyPr/>
                      </wps:wsp>
                      <wps:wsp>
                        <wps:cNvPr id="246" name="Shape 246"/>
                        <wps:cNvSpPr/>
                        <wps:spPr>
                          <a:xfrm>
                            <a:off x="3503803" y="0"/>
                            <a:ext cx="9525" cy="473837"/>
                          </a:xfrm>
                          <a:custGeom>
                            <a:avLst/>
                            <a:gdLst/>
                            <a:ahLst/>
                            <a:cxnLst/>
                            <a:rect l="0" t="0" r="0" b="0"/>
                            <a:pathLst>
                              <a:path w="9525" h="473837">
                                <a:moveTo>
                                  <a:pt x="9525" y="0"/>
                                </a:moveTo>
                                <a:lnTo>
                                  <a:pt x="9525" y="473837"/>
                                </a:lnTo>
                                <a:lnTo>
                                  <a:pt x="0" y="464312"/>
                                </a:lnTo>
                                <a:lnTo>
                                  <a:pt x="0" y="9525"/>
                                </a:lnTo>
                                <a:lnTo>
                                  <a:pt x="9525" y="0"/>
                                </a:lnTo>
                                <a:close/>
                              </a:path>
                            </a:pathLst>
                          </a:custGeom>
                          <a:ln w="0" cap="sq">
                            <a:miter lim="127000"/>
                          </a:ln>
                        </wps:spPr>
                        <wps:style>
                          <a:lnRef idx="0">
                            <a:srgbClr val="000000">
                              <a:alpha val="0"/>
                            </a:srgbClr>
                          </a:lnRef>
                          <a:fillRef idx="1">
                            <a:srgbClr val="000000"/>
                          </a:fillRef>
                          <a:effectRef idx="0">
                            <a:scrgbClr r="0" g="0" b="0"/>
                          </a:effectRef>
                          <a:fontRef idx="none"/>
                        </wps:style>
                        <wps:bodyPr/>
                      </wps:wsp>
                      <wps:wsp>
                        <wps:cNvPr id="247" name="Shape 247"/>
                        <wps:cNvSpPr/>
                        <wps:spPr>
                          <a:xfrm>
                            <a:off x="0" y="464312"/>
                            <a:ext cx="3513328" cy="9525"/>
                          </a:xfrm>
                          <a:custGeom>
                            <a:avLst/>
                            <a:gdLst/>
                            <a:ahLst/>
                            <a:cxnLst/>
                            <a:rect l="0" t="0" r="0" b="0"/>
                            <a:pathLst>
                              <a:path w="3513328" h="9525">
                                <a:moveTo>
                                  <a:pt x="9525" y="0"/>
                                </a:moveTo>
                                <a:lnTo>
                                  <a:pt x="3503803" y="0"/>
                                </a:lnTo>
                                <a:lnTo>
                                  <a:pt x="3513328" y="9525"/>
                                </a:lnTo>
                                <a:lnTo>
                                  <a:pt x="0" y="9525"/>
                                </a:lnTo>
                                <a:lnTo>
                                  <a:pt x="9525" y="0"/>
                                </a:lnTo>
                                <a:close/>
                              </a:path>
                            </a:pathLst>
                          </a:custGeom>
                          <a:ln w="0" cap="sq">
                            <a:miter lim="127000"/>
                          </a:ln>
                        </wps:spPr>
                        <wps:style>
                          <a:lnRef idx="0">
                            <a:srgbClr val="000000">
                              <a:alpha val="0"/>
                            </a:srgbClr>
                          </a:lnRef>
                          <a:fillRef idx="1">
                            <a:srgbClr val="000000"/>
                          </a:fillRef>
                          <a:effectRef idx="0">
                            <a:scrgbClr r="0" g="0" b="0"/>
                          </a:effectRef>
                          <a:fontRef idx="none"/>
                        </wps:style>
                        <wps:bodyPr/>
                      </wps:wsp>
                      <wps:wsp>
                        <wps:cNvPr id="248" name="Shape 248"/>
                        <wps:cNvSpPr/>
                        <wps:spPr>
                          <a:xfrm>
                            <a:off x="0" y="0"/>
                            <a:ext cx="9525" cy="473837"/>
                          </a:xfrm>
                          <a:custGeom>
                            <a:avLst/>
                            <a:gdLst/>
                            <a:ahLst/>
                            <a:cxnLst/>
                            <a:rect l="0" t="0" r="0" b="0"/>
                            <a:pathLst>
                              <a:path w="9525" h="473837">
                                <a:moveTo>
                                  <a:pt x="0" y="0"/>
                                </a:moveTo>
                                <a:lnTo>
                                  <a:pt x="9525" y="9525"/>
                                </a:lnTo>
                                <a:lnTo>
                                  <a:pt x="9525" y="464312"/>
                                </a:lnTo>
                                <a:lnTo>
                                  <a:pt x="0" y="473837"/>
                                </a:lnTo>
                                <a:lnTo>
                                  <a:pt x="0" y="0"/>
                                </a:lnTo>
                                <a:close/>
                              </a:path>
                            </a:pathLst>
                          </a:custGeom>
                          <a:ln w="0" cap="sq">
                            <a:miter lim="127000"/>
                          </a:ln>
                        </wps:spPr>
                        <wps:style>
                          <a:lnRef idx="0">
                            <a:srgbClr val="000000">
                              <a:alpha val="0"/>
                            </a:srgbClr>
                          </a:lnRef>
                          <a:fillRef idx="1">
                            <a:srgbClr val="000000"/>
                          </a:fillRef>
                          <a:effectRef idx="0">
                            <a:scrgbClr r="0" g="0" b="0"/>
                          </a:effectRef>
                          <a:fontRef idx="none"/>
                        </wps:style>
                        <wps:bodyPr/>
                      </wps:wsp>
                      <wps:wsp>
                        <wps:cNvPr id="249" name="Shape 249"/>
                        <wps:cNvSpPr/>
                        <wps:spPr>
                          <a:xfrm>
                            <a:off x="3503803" y="0"/>
                            <a:ext cx="3553333" cy="9525"/>
                          </a:xfrm>
                          <a:custGeom>
                            <a:avLst/>
                            <a:gdLst/>
                            <a:ahLst/>
                            <a:cxnLst/>
                            <a:rect l="0" t="0" r="0" b="0"/>
                            <a:pathLst>
                              <a:path w="3553333" h="9525">
                                <a:moveTo>
                                  <a:pt x="0" y="0"/>
                                </a:moveTo>
                                <a:lnTo>
                                  <a:pt x="3553333" y="0"/>
                                </a:lnTo>
                                <a:lnTo>
                                  <a:pt x="3543808" y="9525"/>
                                </a:lnTo>
                                <a:lnTo>
                                  <a:pt x="9525" y="9525"/>
                                </a:lnTo>
                                <a:lnTo>
                                  <a:pt x="0" y="0"/>
                                </a:lnTo>
                                <a:close/>
                              </a:path>
                            </a:pathLst>
                          </a:custGeom>
                          <a:ln w="0" cap="sq">
                            <a:miter lim="127000"/>
                          </a:ln>
                        </wps:spPr>
                        <wps:style>
                          <a:lnRef idx="0">
                            <a:srgbClr val="000000">
                              <a:alpha val="0"/>
                            </a:srgbClr>
                          </a:lnRef>
                          <a:fillRef idx="1">
                            <a:srgbClr val="000000"/>
                          </a:fillRef>
                          <a:effectRef idx="0">
                            <a:scrgbClr r="0" g="0" b="0"/>
                          </a:effectRef>
                          <a:fontRef idx="none"/>
                        </wps:style>
                        <wps:bodyPr/>
                      </wps:wsp>
                      <wps:wsp>
                        <wps:cNvPr id="250" name="Shape 250"/>
                        <wps:cNvSpPr/>
                        <wps:spPr>
                          <a:xfrm>
                            <a:off x="7047611" y="0"/>
                            <a:ext cx="9525" cy="473837"/>
                          </a:xfrm>
                          <a:custGeom>
                            <a:avLst/>
                            <a:gdLst/>
                            <a:ahLst/>
                            <a:cxnLst/>
                            <a:rect l="0" t="0" r="0" b="0"/>
                            <a:pathLst>
                              <a:path w="9525" h="473837">
                                <a:moveTo>
                                  <a:pt x="9525" y="0"/>
                                </a:moveTo>
                                <a:lnTo>
                                  <a:pt x="9525" y="473837"/>
                                </a:lnTo>
                                <a:lnTo>
                                  <a:pt x="0" y="464312"/>
                                </a:lnTo>
                                <a:lnTo>
                                  <a:pt x="0" y="9525"/>
                                </a:lnTo>
                                <a:lnTo>
                                  <a:pt x="9525" y="0"/>
                                </a:lnTo>
                                <a:close/>
                              </a:path>
                            </a:pathLst>
                          </a:custGeom>
                          <a:ln w="0" cap="sq">
                            <a:miter lim="127000"/>
                          </a:ln>
                        </wps:spPr>
                        <wps:style>
                          <a:lnRef idx="0">
                            <a:srgbClr val="000000">
                              <a:alpha val="0"/>
                            </a:srgbClr>
                          </a:lnRef>
                          <a:fillRef idx="1">
                            <a:srgbClr val="000000"/>
                          </a:fillRef>
                          <a:effectRef idx="0">
                            <a:scrgbClr r="0" g="0" b="0"/>
                          </a:effectRef>
                          <a:fontRef idx="none"/>
                        </wps:style>
                        <wps:bodyPr/>
                      </wps:wsp>
                      <wps:wsp>
                        <wps:cNvPr id="251" name="Shape 251"/>
                        <wps:cNvSpPr/>
                        <wps:spPr>
                          <a:xfrm>
                            <a:off x="3503803" y="464312"/>
                            <a:ext cx="3553333" cy="9525"/>
                          </a:xfrm>
                          <a:custGeom>
                            <a:avLst/>
                            <a:gdLst/>
                            <a:ahLst/>
                            <a:cxnLst/>
                            <a:rect l="0" t="0" r="0" b="0"/>
                            <a:pathLst>
                              <a:path w="3553333" h="9525">
                                <a:moveTo>
                                  <a:pt x="9525" y="0"/>
                                </a:moveTo>
                                <a:lnTo>
                                  <a:pt x="3543808" y="0"/>
                                </a:lnTo>
                                <a:lnTo>
                                  <a:pt x="3553333" y="9525"/>
                                </a:lnTo>
                                <a:lnTo>
                                  <a:pt x="0" y="9525"/>
                                </a:lnTo>
                                <a:lnTo>
                                  <a:pt x="9525" y="0"/>
                                </a:lnTo>
                                <a:close/>
                              </a:path>
                            </a:pathLst>
                          </a:custGeom>
                          <a:ln w="0" cap="sq">
                            <a:miter lim="127000"/>
                          </a:ln>
                        </wps:spPr>
                        <wps:style>
                          <a:lnRef idx="0">
                            <a:srgbClr val="000000">
                              <a:alpha val="0"/>
                            </a:srgbClr>
                          </a:lnRef>
                          <a:fillRef idx="1">
                            <a:srgbClr val="000000"/>
                          </a:fillRef>
                          <a:effectRef idx="0">
                            <a:scrgbClr r="0" g="0" b="0"/>
                          </a:effectRef>
                          <a:fontRef idx="none"/>
                        </wps:style>
                        <wps:bodyPr/>
                      </wps:wsp>
                      <wps:wsp>
                        <wps:cNvPr id="252" name="Shape 252"/>
                        <wps:cNvSpPr/>
                        <wps:spPr>
                          <a:xfrm>
                            <a:off x="3503803" y="0"/>
                            <a:ext cx="9525" cy="473837"/>
                          </a:xfrm>
                          <a:custGeom>
                            <a:avLst/>
                            <a:gdLst/>
                            <a:ahLst/>
                            <a:cxnLst/>
                            <a:rect l="0" t="0" r="0" b="0"/>
                            <a:pathLst>
                              <a:path w="9525" h="473837">
                                <a:moveTo>
                                  <a:pt x="0" y="0"/>
                                </a:moveTo>
                                <a:lnTo>
                                  <a:pt x="9525" y="9525"/>
                                </a:lnTo>
                                <a:lnTo>
                                  <a:pt x="9525" y="464312"/>
                                </a:lnTo>
                                <a:lnTo>
                                  <a:pt x="0" y="473837"/>
                                </a:lnTo>
                                <a:lnTo>
                                  <a:pt x="0" y="0"/>
                                </a:lnTo>
                                <a:close/>
                              </a:path>
                            </a:pathLst>
                          </a:custGeom>
                          <a:ln w="0" cap="sq">
                            <a:miter lim="127000"/>
                          </a:ln>
                        </wps:spPr>
                        <wps:style>
                          <a:lnRef idx="0">
                            <a:srgbClr val="000000">
                              <a:alpha val="0"/>
                            </a:srgbClr>
                          </a:lnRef>
                          <a:fillRef idx="1">
                            <a:srgbClr val="000000"/>
                          </a:fillRef>
                          <a:effectRef idx="0">
                            <a:scrgbClr r="0" g="0" b="0"/>
                          </a:effectRef>
                          <a:fontRef idx="none"/>
                        </wps:style>
                        <wps:bodyPr/>
                      </wps:wsp>
                      <wps:wsp>
                        <wps:cNvPr id="253" name="Shape 253"/>
                        <wps:cNvSpPr/>
                        <wps:spPr>
                          <a:xfrm>
                            <a:off x="3475228" y="469138"/>
                            <a:ext cx="9525" cy="175768"/>
                          </a:xfrm>
                          <a:custGeom>
                            <a:avLst/>
                            <a:gdLst/>
                            <a:ahLst/>
                            <a:cxnLst/>
                            <a:rect l="0" t="0" r="0" b="0"/>
                            <a:pathLst>
                              <a:path w="9525" h="175768">
                                <a:moveTo>
                                  <a:pt x="0" y="0"/>
                                </a:moveTo>
                                <a:lnTo>
                                  <a:pt x="9525" y="0"/>
                                </a:lnTo>
                                <a:lnTo>
                                  <a:pt x="9525" y="175768"/>
                                </a:lnTo>
                                <a:lnTo>
                                  <a:pt x="0" y="166243"/>
                                </a:lnTo>
                                <a:lnTo>
                                  <a:pt x="0" y="0"/>
                                </a:lnTo>
                                <a:close/>
                              </a:path>
                            </a:pathLst>
                          </a:custGeom>
                          <a:ln w="0" cap="sq">
                            <a:miter lim="127000"/>
                          </a:ln>
                        </wps:spPr>
                        <wps:style>
                          <a:lnRef idx="0">
                            <a:srgbClr val="000000">
                              <a:alpha val="0"/>
                            </a:srgbClr>
                          </a:lnRef>
                          <a:fillRef idx="1">
                            <a:srgbClr val="000000"/>
                          </a:fillRef>
                          <a:effectRef idx="0">
                            <a:scrgbClr r="0" g="0" b="0"/>
                          </a:effectRef>
                          <a:fontRef idx="none"/>
                        </wps:style>
                        <wps:bodyPr/>
                      </wps:wsp>
                      <wps:wsp>
                        <wps:cNvPr id="254" name="Shape 254"/>
                        <wps:cNvSpPr/>
                        <wps:spPr>
                          <a:xfrm>
                            <a:off x="0" y="635381"/>
                            <a:ext cx="3484753" cy="9525"/>
                          </a:xfrm>
                          <a:custGeom>
                            <a:avLst/>
                            <a:gdLst/>
                            <a:ahLst/>
                            <a:cxnLst/>
                            <a:rect l="0" t="0" r="0" b="0"/>
                            <a:pathLst>
                              <a:path w="3484753" h="9525">
                                <a:moveTo>
                                  <a:pt x="9525" y="0"/>
                                </a:moveTo>
                                <a:lnTo>
                                  <a:pt x="3475228" y="0"/>
                                </a:lnTo>
                                <a:lnTo>
                                  <a:pt x="3484753" y="9525"/>
                                </a:lnTo>
                                <a:lnTo>
                                  <a:pt x="0" y="9525"/>
                                </a:lnTo>
                                <a:lnTo>
                                  <a:pt x="9525" y="0"/>
                                </a:lnTo>
                                <a:close/>
                              </a:path>
                            </a:pathLst>
                          </a:custGeom>
                          <a:ln w="0" cap="sq">
                            <a:miter lim="127000"/>
                          </a:ln>
                        </wps:spPr>
                        <wps:style>
                          <a:lnRef idx="0">
                            <a:srgbClr val="000000">
                              <a:alpha val="0"/>
                            </a:srgbClr>
                          </a:lnRef>
                          <a:fillRef idx="1">
                            <a:srgbClr val="000000"/>
                          </a:fillRef>
                          <a:effectRef idx="0">
                            <a:scrgbClr r="0" g="0" b="0"/>
                          </a:effectRef>
                          <a:fontRef idx="none"/>
                        </wps:style>
                        <wps:bodyPr/>
                      </wps:wsp>
                      <wps:wsp>
                        <wps:cNvPr id="255" name="Shape 255"/>
                        <wps:cNvSpPr/>
                        <wps:spPr>
                          <a:xfrm>
                            <a:off x="0" y="469138"/>
                            <a:ext cx="9525" cy="175768"/>
                          </a:xfrm>
                          <a:custGeom>
                            <a:avLst/>
                            <a:gdLst/>
                            <a:ahLst/>
                            <a:cxnLst/>
                            <a:rect l="0" t="0" r="0" b="0"/>
                            <a:pathLst>
                              <a:path w="9525" h="175768">
                                <a:moveTo>
                                  <a:pt x="0" y="0"/>
                                </a:moveTo>
                                <a:lnTo>
                                  <a:pt x="9525" y="0"/>
                                </a:lnTo>
                                <a:lnTo>
                                  <a:pt x="9525" y="166243"/>
                                </a:lnTo>
                                <a:lnTo>
                                  <a:pt x="0" y="175768"/>
                                </a:lnTo>
                                <a:lnTo>
                                  <a:pt x="0" y="0"/>
                                </a:lnTo>
                                <a:close/>
                              </a:path>
                            </a:pathLst>
                          </a:custGeom>
                          <a:ln w="0" cap="sq">
                            <a:miter lim="127000"/>
                          </a:ln>
                        </wps:spPr>
                        <wps:style>
                          <a:lnRef idx="0">
                            <a:srgbClr val="000000">
                              <a:alpha val="0"/>
                            </a:srgbClr>
                          </a:lnRef>
                          <a:fillRef idx="1">
                            <a:srgbClr val="000000"/>
                          </a:fillRef>
                          <a:effectRef idx="0">
                            <a:scrgbClr r="0" g="0" b="0"/>
                          </a:effectRef>
                          <a:fontRef idx="none"/>
                        </wps:style>
                        <wps:bodyPr/>
                      </wps:wsp>
                      <wps:wsp>
                        <wps:cNvPr id="256" name="Shape 256"/>
                        <wps:cNvSpPr/>
                        <wps:spPr>
                          <a:xfrm>
                            <a:off x="7047611" y="469138"/>
                            <a:ext cx="9525" cy="175768"/>
                          </a:xfrm>
                          <a:custGeom>
                            <a:avLst/>
                            <a:gdLst/>
                            <a:ahLst/>
                            <a:cxnLst/>
                            <a:rect l="0" t="0" r="0" b="0"/>
                            <a:pathLst>
                              <a:path w="9525" h="175768">
                                <a:moveTo>
                                  <a:pt x="0" y="0"/>
                                </a:moveTo>
                                <a:lnTo>
                                  <a:pt x="9525" y="0"/>
                                </a:lnTo>
                                <a:lnTo>
                                  <a:pt x="9525" y="175768"/>
                                </a:lnTo>
                                <a:lnTo>
                                  <a:pt x="0" y="166243"/>
                                </a:lnTo>
                                <a:lnTo>
                                  <a:pt x="0" y="0"/>
                                </a:lnTo>
                                <a:close/>
                              </a:path>
                            </a:pathLst>
                          </a:custGeom>
                          <a:ln w="0" cap="sq">
                            <a:miter lim="127000"/>
                          </a:ln>
                        </wps:spPr>
                        <wps:style>
                          <a:lnRef idx="0">
                            <a:srgbClr val="000000">
                              <a:alpha val="0"/>
                            </a:srgbClr>
                          </a:lnRef>
                          <a:fillRef idx="1">
                            <a:srgbClr val="000000"/>
                          </a:fillRef>
                          <a:effectRef idx="0">
                            <a:scrgbClr r="0" g="0" b="0"/>
                          </a:effectRef>
                          <a:fontRef idx="none"/>
                        </wps:style>
                        <wps:bodyPr/>
                      </wps:wsp>
                      <wps:wsp>
                        <wps:cNvPr id="257" name="Shape 257"/>
                        <wps:cNvSpPr/>
                        <wps:spPr>
                          <a:xfrm>
                            <a:off x="3475228" y="635381"/>
                            <a:ext cx="3581908" cy="9525"/>
                          </a:xfrm>
                          <a:custGeom>
                            <a:avLst/>
                            <a:gdLst/>
                            <a:ahLst/>
                            <a:cxnLst/>
                            <a:rect l="0" t="0" r="0" b="0"/>
                            <a:pathLst>
                              <a:path w="3581908" h="9525">
                                <a:moveTo>
                                  <a:pt x="9525" y="0"/>
                                </a:moveTo>
                                <a:lnTo>
                                  <a:pt x="3572383" y="0"/>
                                </a:lnTo>
                                <a:lnTo>
                                  <a:pt x="3581908" y="9525"/>
                                </a:lnTo>
                                <a:lnTo>
                                  <a:pt x="0" y="9525"/>
                                </a:lnTo>
                                <a:lnTo>
                                  <a:pt x="9525" y="0"/>
                                </a:lnTo>
                                <a:close/>
                              </a:path>
                            </a:pathLst>
                          </a:custGeom>
                          <a:ln w="0" cap="sq">
                            <a:miter lim="127000"/>
                          </a:ln>
                        </wps:spPr>
                        <wps:style>
                          <a:lnRef idx="0">
                            <a:srgbClr val="000000">
                              <a:alpha val="0"/>
                            </a:srgbClr>
                          </a:lnRef>
                          <a:fillRef idx="1">
                            <a:srgbClr val="000000"/>
                          </a:fillRef>
                          <a:effectRef idx="0">
                            <a:scrgbClr r="0" g="0" b="0"/>
                          </a:effectRef>
                          <a:fontRef idx="none"/>
                        </wps:style>
                        <wps:bodyPr/>
                      </wps:wsp>
                      <wps:wsp>
                        <wps:cNvPr id="258" name="Shape 258"/>
                        <wps:cNvSpPr/>
                        <wps:spPr>
                          <a:xfrm>
                            <a:off x="3475228" y="469138"/>
                            <a:ext cx="9525" cy="175768"/>
                          </a:xfrm>
                          <a:custGeom>
                            <a:avLst/>
                            <a:gdLst/>
                            <a:ahLst/>
                            <a:cxnLst/>
                            <a:rect l="0" t="0" r="0" b="0"/>
                            <a:pathLst>
                              <a:path w="9525" h="175768">
                                <a:moveTo>
                                  <a:pt x="0" y="0"/>
                                </a:moveTo>
                                <a:lnTo>
                                  <a:pt x="9525" y="0"/>
                                </a:lnTo>
                                <a:lnTo>
                                  <a:pt x="9525" y="166243"/>
                                </a:lnTo>
                                <a:lnTo>
                                  <a:pt x="0" y="175768"/>
                                </a:lnTo>
                                <a:lnTo>
                                  <a:pt x="0" y="0"/>
                                </a:lnTo>
                                <a:close/>
                              </a:path>
                            </a:pathLst>
                          </a:custGeom>
                          <a:ln w="0" cap="sq">
                            <a:miter lim="127000"/>
                          </a:ln>
                        </wps:spPr>
                        <wps:style>
                          <a:lnRef idx="0">
                            <a:srgbClr val="000000">
                              <a:alpha val="0"/>
                            </a:srgbClr>
                          </a:lnRef>
                          <a:fillRef idx="1">
                            <a:srgbClr val="000000"/>
                          </a:fillRef>
                          <a:effectRef idx="0">
                            <a:scrgbClr r="0" g="0" b="0"/>
                          </a:effectRef>
                          <a:fontRef idx="none"/>
                        </wps:style>
                        <wps:bodyPr/>
                      </wps:wsp>
                      <wps:wsp>
                        <wps:cNvPr id="268" name="Rectangle 268"/>
                        <wps:cNvSpPr/>
                        <wps:spPr>
                          <a:xfrm>
                            <a:off x="1608328" y="163554"/>
                            <a:ext cx="394292" cy="188893"/>
                          </a:xfrm>
                          <a:prstGeom prst="rect">
                            <a:avLst/>
                          </a:prstGeom>
                          <a:ln>
                            <a:noFill/>
                          </a:ln>
                        </wps:spPr>
                        <wps:txbx>
                          <w:txbxContent>
                            <w:p w14:paraId="35ACD684" w14:textId="77777777" w:rsidR="00F20451" w:rsidRDefault="00F20451" w:rsidP="00F20451">
                              <w:r>
                                <w:rPr>
                                  <w:rFonts w:ascii="Calibri" w:eastAsia="Calibri" w:hAnsi="Calibri" w:cs="Calibri"/>
                                  <w:b/>
                                  <w:w w:val="110"/>
                                  <w:sz w:val="20"/>
                                </w:rPr>
                                <w:t>Item</w:t>
                              </w:r>
                              <w:r>
                                <w:rPr>
                                  <w:rFonts w:ascii="Calibri" w:eastAsia="Calibri" w:hAnsi="Calibri" w:cs="Calibri"/>
                                  <w:b/>
                                  <w:spacing w:val="10"/>
                                  <w:w w:val="110"/>
                                  <w:sz w:val="20"/>
                                </w:rPr>
                                <w:t xml:space="preserve"> </w:t>
                              </w:r>
                            </w:p>
                          </w:txbxContent>
                        </wps:txbx>
                        <wps:bodyPr horzOverflow="overflow" vert="horz" lIns="0" tIns="0" rIns="0" bIns="0" rtlCol="0">
                          <a:noAutofit/>
                        </wps:bodyPr>
                      </wps:wsp>
                      <wps:wsp>
                        <wps:cNvPr id="269" name="Rectangle 269"/>
                        <wps:cNvSpPr/>
                        <wps:spPr>
                          <a:xfrm>
                            <a:off x="4930649" y="163554"/>
                            <a:ext cx="929089" cy="188893"/>
                          </a:xfrm>
                          <a:prstGeom prst="rect">
                            <a:avLst/>
                          </a:prstGeom>
                          <a:ln>
                            <a:noFill/>
                          </a:ln>
                        </wps:spPr>
                        <wps:txbx>
                          <w:txbxContent>
                            <w:p w14:paraId="3738F96F" w14:textId="77777777" w:rsidR="00F20451" w:rsidRDefault="00F20451" w:rsidP="00F20451">
                              <w:r>
                                <w:rPr>
                                  <w:rFonts w:ascii="Calibri" w:eastAsia="Calibri" w:hAnsi="Calibri" w:cs="Calibri"/>
                                  <w:b/>
                                  <w:w w:val="116"/>
                                  <w:sz w:val="20"/>
                                </w:rPr>
                                <w:t>Quantidade</w:t>
                              </w:r>
                            </w:p>
                          </w:txbxContent>
                        </wps:txbx>
                        <wps:bodyPr horzOverflow="overflow" vert="horz" lIns="0" tIns="0" rIns="0" bIns="0" rtlCol="0">
                          <a:noAutofit/>
                        </wps:bodyPr>
                      </wps:wsp>
                      <wps:wsp>
                        <wps:cNvPr id="270" name="Rectangle 270"/>
                        <wps:cNvSpPr/>
                        <wps:spPr>
                          <a:xfrm>
                            <a:off x="1713611" y="489204"/>
                            <a:ext cx="76010" cy="168349"/>
                          </a:xfrm>
                          <a:prstGeom prst="rect">
                            <a:avLst/>
                          </a:prstGeom>
                          <a:ln>
                            <a:noFill/>
                          </a:ln>
                        </wps:spPr>
                        <wps:txbx>
                          <w:txbxContent>
                            <w:p w14:paraId="08D59D85" w14:textId="77777777" w:rsidR="00F20451" w:rsidRDefault="00F20451" w:rsidP="00F20451">
                              <w:r>
                                <w:rPr>
                                  <w:rFonts w:ascii="Calibri" w:eastAsia="Calibri" w:hAnsi="Calibri" w:cs="Calibri"/>
                                  <w:w w:val="98"/>
                                  <w:sz w:val="18"/>
                                </w:rPr>
                                <w:t>1</w:t>
                              </w:r>
                            </w:p>
                          </w:txbxContent>
                        </wps:txbx>
                        <wps:bodyPr horzOverflow="overflow" vert="horz" lIns="0" tIns="0" rIns="0" bIns="0" rtlCol="0">
                          <a:noAutofit/>
                        </wps:bodyPr>
                      </wps:wsp>
                      <wps:wsp>
                        <wps:cNvPr id="13672" name="Rectangle 13672"/>
                        <wps:cNvSpPr/>
                        <wps:spPr>
                          <a:xfrm>
                            <a:off x="5108702" y="489204"/>
                            <a:ext cx="152019" cy="168349"/>
                          </a:xfrm>
                          <a:prstGeom prst="rect">
                            <a:avLst/>
                          </a:prstGeom>
                          <a:ln>
                            <a:noFill/>
                          </a:ln>
                        </wps:spPr>
                        <wps:txbx>
                          <w:txbxContent>
                            <w:p w14:paraId="13AFD4E4" w14:textId="77777777" w:rsidR="00F20451" w:rsidRDefault="00F20451" w:rsidP="00F20451">
                              <w:r>
                                <w:rPr>
                                  <w:rFonts w:ascii="Calibri" w:eastAsia="Calibri" w:hAnsi="Calibri" w:cs="Calibri"/>
                                  <w:w w:val="98"/>
                                  <w:sz w:val="18"/>
                                </w:rPr>
                                <w:t>50</w:t>
                              </w:r>
                            </w:p>
                          </w:txbxContent>
                        </wps:txbx>
                        <wps:bodyPr horzOverflow="overflow" vert="horz" lIns="0" tIns="0" rIns="0" bIns="0" rtlCol="0">
                          <a:noAutofit/>
                        </wps:bodyPr>
                      </wps:wsp>
                      <wps:wsp>
                        <wps:cNvPr id="13674" name="Rectangle 13674"/>
                        <wps:cNvSpPr/>
                        <wps:spPr>
                          <a:xfrm>
                            <a:off x="5223002" y="489204"/>
                            <a:ext cx="266033" cy="168349"/>
                          </a:xfrm>
                          <a:prstGeom prst="rect">
                            <a:avLst/>
                          </a:prstGeom>
                          <a:ln>
                            <a:noFill/>
                          </a:ln>
                        </wps:spPr>
                        <wps:txbx>
                          <w:txbxContent>
                            <w:p w14:paraId="5F9C27E7" w14:textId="77777777" w:rsidR="00F20451" w:rsidRDefault="00F20451" w:rsidP="00F20451">
                              <w:r>
                                <w:rPr>
                                  <w:rFonts w:ascii="Calibri" w:eastAsia="Calibri" w:hAnsi="Calibri" w:cs="Calibri"/>
                                  <w:spacing w:val="4"/>
                                  <w:w w:val="96"/>
                                  <w:sz w:val="18"/>
                                </w:rPr>
                                <w:t xml:space="preserve"> </w:t>
                              </w:r>
                              <w:r>
                                <w:rPr>
                                  <w:rFonts w:ascii="Calibri" w:eastAsia="Calibri" w:hAnsi="Calibri" w:cs="Calibri"/>
                                  <w:w w:val="96"/>
                                  <w:sz w:val="18"/>
                                </w:rPr>
                                <w:t>und</w:t>
                              </w:r>
                            </w:p>
                          </w:txbxContent>
                        </wps:txbx>
                        <wps:bodyPr horzOverflow="overflow" vert="horz" lIns="0" tIns="0" rIns="0" bIns="0" rtlCol="0">
                          <a:noAutofit/>
                        </wps:bodyPr>
                      </wps:wsp>
                    </wpg:wgp>
                  </a:graphicData>
                </a:graphic>
              </wp:inline>
            </w:drawing>
          </mc:Choice>
          <mc:Fallback>
            <w:pict>
              <v:group w14:anchorId="61DFC65D" id="Group 14267" o:spid="_x0000_s1109" style="width:555.7pt;height:50.8pt;mso-position-horizontal-relative:char;mso-position-vertical-relative:line" coordsize="70571,64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">
                <v:shape id="Shape 245" o:spid="_x0000_s1110" style="position:absolute;width:35133;height:95;visibility:visible;mso-wrap-style:square;v-text-anchor:top" coordsize="3513328,9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" path="m,l3513328,r-9525,9525l9525,9525,,xe" fillcolor="black" stroked="f" strokeweight="0">
                  <v:stroke miterlimit="83231f" joinstyle="miter" endcap="square"/>
                  <v:path arrowok="t" textboxrect="0,0,3513328,9525"/>
                </v:shape>
                <v:shape id="Shape 246" o:spid="_x0000_s1111" style="position:absolute;left:35038;width:95;height:4738;visibility:visible;mso-wrap-style:square;v-text-anchor:top" coordsize="9525,4738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" path="m9525,r,473837l,464312,,9525,9525,xe" fillcolor="black" stroked="f" strokeweight="0">
                  <v:stroke miterlimit="83231f" joinstyle="miter" endcap="square"/>
                  <v:path arrowok="t" textboxrect="0,0,9525,473837"/>
                </v:shape>
                <v:shape id="Shape 247" o:spid="_x0000_s1112" style="position:absolute;top:4643;width:35133;height:95;visibility:visible;mso-wrap-style:square;v-text-anchor:top" coordsize="3513328,9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" path="m9525,l3503803,r9525,9525l,9525,9525,xe" fillcolor="black" stroked="f" strokeweight="0">
                  <v:stroke miterlimit="83231f" joinstyle="miter" endcap="square"/>
                  <v:path arrowok="t" textboxrect="0,0,3513328,9525"/>
                </v:shape>
                <v:shape id="Shape 248" o:spid="_x0000_s1113" style="position:absolute;width:95;height:4738;visibility:visible;mso-wrap-style:square;v-text-anchor:top" coordsize="9525,4738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" path="m,l9525,9525r,454787l,473837,,xe" fillcolor="black" stroked="f" strokeweight="0">
                  <v:stroke miterlimit="83231f" joinstyle="miter" endcap="square"/>
                  <v:path arrowok="t" textboxrect="0,0,9525,473837"/>
                </v:shape>
                <v:shape id="Shape 249" o:spid="_x0000_s1114" style="position:absolute;left:35038;width:35533;height:95;visibility:visible;mso-wrap-style:square;v-text-anchor:top" coordsize="3553333,9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" path="m,l3553333,r-9525,9525l9525,9525,,xe" fillcolor="black" stroked="f" strokeweight="0">
                  <v:stroke miterlimit="83231f" joinstyle="miter" endcap="square"/>
                  <v:path arrowok="t" textboxrect="0,0,3553333,9525"/>
                </v:shape>
                <v:shape id="Shape 250" o:spid="_x0000_s1115" style="position:absolute;left:70476;width:95;height:4738;visibility:visible;mso-wrap-style:square;v-text-anchor:top" coordsize="9525,4738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" path="m9525,r,473837l,464312,,9525,9525,xe" fillcolor="black" stroked="f" strokeweight="0">
                  <v:stroke miterlimit="83231f" joinstyle="miter" endcap="square"/>
                  <v:path arrowok="t" textboxrect="0,0,9525,473837"/>
                </v:shape>
                <v:shape id="Shape 251" o:spid="_x0000_s1116" style="position:absolute;left:35038;top:4643;width:35533;height:95;visibility:visible;mso-wrap-style:square;v-text-anchor:top" coordsize="3553333,9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" path="m9525,l3543808,r9525,9525l,9525,9525,xe" fillcolor="black" stroked="f" strokeweight="0">
                  <v:stroke miterlimit="83231f" joinstyle="miter" endcap="square"/>
                  <v:path arrowok="t" textboxrect="0,0,3553333,9525"/>
                </v:shape>
                <v:shape id="Shape 252" o:spid="_x0000_s1117" style="position:absolute;left:35038;width:95;height:4738;visibility:visible;mso-wrap-style:square;v-text-anchor:top" coordsize="9525,4738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" path="m,l9525,9525r,454787l,473837,,xe" fillcolor="black" stroked="f" strokeweight="0">
                  <v:stroke miterlimit="83231f" joinstyle="miter" endcap="square"/>
                  <v:path arrowok="t" textboxrect="0,0,9525,473837"/>
                </v:shape>
                <v:shape id="Shape 253" o:spid="_x0000_s1118" style="position:absolute;left:34752;top:4691;width:95;height:1758;visibility:visible;mso-wrap-style:square;v-text-anchor:top" coordsize="9525,1757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" path="m,l9525,r,175768l,166243,,xe" fillcolor="black" stroked="f" strokeweight="0">
                  <v:stroke miterlimit="83231f" joinstyle="miter" endcap="square"/>
                  <v:path arrowok="t" textboxrect="0,0,9525,175768"/>
                </v:shape>
                <v:shape id="Shape 254" o:spid="_x0000_s1119" style="position:absolute;top:6353;width:34847;height:96;visibility:visible;mso-wrap-style:square;v-text-anchor:top" coordsize="3484753,9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" path="m9525,l3475228,r9525,9525l,9525,9525,xe" fillcolor="black" stroked="f" strokeweight="0">
                  <v:stroke miterlimit="83231f" joinstyle="miter" endcap="square"/>
                  <v:path arrowok="t" textboxrect="0,0,3484753,9525"/>
                </v:shape>
                <v:shape id="Shape 255" o:spid="_x0000_s1120" style="position:absolute;top:4691;width:95;height:1758;visibility:visible;mso-wrap-style:square;v-text-anchor:top" coordsize="9525,1757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" path="m,l9525,r,166243l,175768,,xe" fillcolor="black" stroked="f" strokeweight="0">
                  <v:stroke miterlimit="83231f" joinstyle="miter" endcap="square"/>
                  <v:path arrowok="t" textboxrect="0,0,9525,175768"/>
                </v:shape>
                <v:shape id="Shape 256" o:spid="_x0000_s1121" style="position:absolute;left:70476;top:4691;width:95;height:1758;visibility:visible;mso-wrap-style:square;v-text-anchor:top" coordsize="9525,1757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" path="m,l9525,r,175768l,166243,,xe" fillcolor="black" stroked="f" strokeweight="0">
                  <v:stroke miterlimit="83231f" joinstyle="miter" endcap="square"/>
                  <v:path arrowok="t" textboxrect="0,0,9525,175768"/>
                </v:shape>
                <v:shape id="Shape 257" o:spid="_x0000_s1122" style="position:absolute;left:34752;top:6353;width:35819;height:96;visibility:visible;mso-wrap-style:square;v-text-anchor:top" coordsize="3581908,9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" path="m9525,l3572383,r9525,9525l,9525,9525,xe" fillcolor="black" stroked="f" strokeweight="0">
                  <v:stroke miterlimit="83231f" joinstyle="miter" endcap="square"/>
                  <v:path arrowok="t" textboxrect="0,0,3581908,9525"/>
                </v:shape>
                <v:shape id="Shape 258" o:spid="_x0000_s1123" style="position:absolute;left:34752;top:4691;width:95;height:1758;visibility:visible;mso-wrap-style:square;v-text-anchor:top" coordsize="9525,1757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" path="m,l9525,r,166243l,175768,,xe" fillcolor="black" stroked="f" strokeweight="0">
                  <v:stroke miterlimit="83231f" joinstyle="miter" endcap="square"/>
                  <v:path arrowok="t" textboxrect="0,0,9525,175768"/>
                </v:shape>
                <v:rect id="Rectangle 268" o:spid="_x0000_s1124" style="position:absolute;left:16083;top:1635;width:3943;height:18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" filled="f" stroked="f">
                  <v:textbox inset="0,0,0,0">
                    <w:txbxContent>
                      <w:p w14:paraId="35ACD684" w14:textId="77777777" w:rsidR="00F20451" w:rsidRDefault="00F20451" w:rsidP="00F20451">
                        <w:r>
                          <w:rPr>
                            <w:rFonts w:ascii="Calibri" w:eastAsia="Calibri" w:hAnsi="Calibri" w:cs="Calibri"/>
                            <w:b/>
                            <w:w w:val="110"/>
                            <w:sz w:val="20"/>
                          </w:rPr>
                          <w:t>Item</w:t>
                        </w:r>
                        <w:r>
                          <w:rPr>
                            <w:rFonts w:ascii="Calibri" w:eastAsia="Calibri" w:hAnsi="Calibri" w:cs="Calibri"/>
                            <w:b/>
                            <w:spacing w:val="10"/>
                            <w:w w:val="110"/>
                            <w:sz w:val="20"/>
                          </w:rPr>
                          <w:t xml:space="preserve"> </w:t>
                        </w:r>
                      </w:p>
                    </w:txbxContent>
                  </v:textbox>
                </v:rect>
                <v:rect id="Rectangle 269" o:spid="_x0000_s1125" style="position:absolute;left:49306;top:1635;width:9291;height:18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" filled="f" stroked="f">
                  <v:textbox inset="0,0,0,0">
                    <w:txbxContent>
                      <w:p w14:paraId="3738F96F" w14:textId="77777777" w:rsidR="00F20451" w:rsidRDefault="00F20451" w:rsidP="00F20451">
                        <w:r>
                          <w:rPr>
                            <w:rFonts w:ascii="Calibri" w:eastAsia="Calibri" w:hAnsi="Calibri" w:cs="Calibri"/>
                            <w:b/>
                            <w:w w:val="116"/>
                            <w:sz w:val="20"/>
                          </w:rPr>
                          <w:t>Quantidade</w:t>
                        </w:r>
                      </w:p>
                    </w:txbxContent>
                  </v:textbox>
                </v:rect>
                <v:rect id="Rectangle 270" o:spid="_x0000_s1126" style="position:absolute;left:17136;top:4892;width:760;height:16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" filled="f" stroked="f">
                  <v:textbox inset="0,0,0,0">
                    <w:txbxContent>
                      <w:p w14:paraId="08D59D85" w14:textId="77777777" w:rsidR="00F20451" w:rsidRDefault="00F20451" w:rsidP="00F20451">
                        <w:r>
                          <w:rPr>
                            <w:rFonts w:ascii="Calibri" w:eastAsia="Calibri" w:hAnsi="Calibri" w:cs="Calibri"/>
                            <w:w w:val="98"/>
                            <w:sz w:val="18"/>
                          </w:rPr>
                          <w:t>1</w:t>
                        </w:r>
                      </w:p>
                    </w:txbxContent>
                  </v:textbox>
                </v:rect>
                <v:rect id="Rectangle 13672" o:spid="_x0000_s1127" style="position:absolute;left:51087;top:4892;width:1520;height:16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" filled="f" stroked="f">
                  <v:textbox inset="0,0,0,0">
                    <w:txbxContent>
                      <w:p w14:paraId="13AFD4E4" w14:textId="77777777" w:rsidR="00F20451" w:rsidRDefault="00F20451" w:rsidP="00F20451">
                        <w:r>
                          <w:rPr>
                            <w:rFonts w:ascii="Calibri" w:eastAsia="Calibri" w:hAnsi="Calibri" w:cs="Calibri"/>
                            <w:w w:val="98"/>
                            <w:sz w:val="18"/>
                          </w:rPr>
                          <w:t>50</w:t>
                        </w:r>
                      </w:p>
                    </w:txbxContent>
                  </v:textbox>
                </v:rect>
                <v:rect id="Rectangle 13674" o:spid="_x0000_s1128" style="position:absolute;left:52230;top:4892;width:2660;height:16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" filled="f" stroked="f">
                  <v:textbox inset="0,0,0,0">
                    <w:txbxContent>
                      <w:p w14:paraId="5F9C27E7" w14:textId="77777777" w:rsidR="00F20451" w:rsidRDefault="00F20451" w:rsidP="00F20451">
                        <w:r>
                          <w:rPr>
                            <w:rFonts w:ascii="Calibri" w:eastAsia="Calibri" w:hAnsi="Calibri" w:cs="Calibri"/>
                            <w:spacing w:val="4"/>
                            <w:w w:val="96"/>
                            <w:sz w:val="18"/>
                          </w:rPr>
                          <w:t xml:space="preserve"> </w:t>
                        </w:r>
                        <w:r>
                          <w:rPr>
                            <w:rFonts w:ascii="Calibri" w:eastAsia="Calibri" w:hAnsi="Calibri" w:cs="Calibri"/>
                            <w:w w:val="96"/>
                            <w:sz w:val="18"/>
                          </w:rPr>
                          <w:t>und</w:t>
                        </w:r>
                      </w:p>
                    </w:txbxContent>
                  </v:textbox>
                </v:rect>
                <w10:anchorlock/>
              </v:group>
            </w:pict>
          </mc:Fallback>
        </mc:AlternateContent>
      </w:r>
    </w:p>
    <w:p w14:paraId="08600FDB" w14:textId="77777777" w:rsidR="00F20451" w:rsidRDefault="00F20451" w:rsidP="00F20451">
      <w:pPr>
        <w:spacing w:after="216"/>
      </w:pPr>
      <w:r>
        <w:rPr>
          <w:rFonts w:ascii="Calibri" w:eastAsia="Calibri" w:hAnsi="Calibri" w:cs="Calibri"/>
          <w:sz w:val="18"/>
        </w:rPr>
        <w:t xml:space="preserve"> </w:t>
      </w:r>
    </w:p>
    <w:p w14:paraId="684CFFE6" w14:textId="77777777" w:rsidR="00F20451" w:rsidRDefault="00F20451" w:rsidP="00F20451">
      <w:pPr>
        <w:spacing w:after="169" w:line="267" w:lineRule="auto"/>
        <w:ind w:left="10" w:right="19" w:hanging="10"/>
        <w:jc w:val="both"/>
      </w:pPr>
      <w:r>
        <w:rPr>
          <w:rFonts w:ascii="Calibri" w:eastAsia="Calibri" w:hAnsi="Calibri" w:cs="Calibri"/>
          <w:sz w:val="20"/>
        </w:rPr>
        <w:t>Obs.: As amostras deverão ser acompanhadas de nota fiscal de simples remessa ou equivalente.</w:t>
      </w:r>
    </w:p>
    <w:p w14:paraId="6D02155C" w14:textId="77777777" w:rsidR="00F20451" w:rsidRDefault="00F20451" w:rsidP="00F20451">
      <w:pPr>
        <w:spacing w:after="236"/>
      </w:pPr>
      <w:r>
        <w:rPr>
          <w:rFonts w:ascii="Calibri" w:eastAsia="Calibri" w:hAnsi="Calibri" w:cs="Calibri"/>
          <w:sz w:val="18"/>
        </w:rPr>
        <w:t xml:space="preserve"> </w:t>
      </w:r>
    </w:p>
    <w:p w14:paraId="03FA5F77" w14:textId="77777777" w:rsidR="00F20451" w:rsidRDefault="00F20451" w:rsidP="00F20451">
      <w:pPr>
        <w:spacing w:after="171" w:line="267" w:lineRule="auto"/>
        <w:ind w:left="10" w:right="19" w:hanging="10"/>
        <w:jc w:val="both"/>
      </w:pPr>
      <w:r>
        <w:rPr>
          <w:rFonts w:ascii="Calibri" w:eastAsia="Calibri" w:hAnsi="Calibri" w:cs="Calibri"/>
          <w:sz w:val="18"/>
        </w:rPr>
        <w:t xml:space="preserve">4.4. </w:t>
      </w:r>
      <w:r>
        <w:rPr>
          <w:rFonts w:ascii="Calibri" w:eastAsia="Calibri" w:hAnsi="Calibri" w:cs="Calibri"/>
          <w:sz w:val="20"/>
        </w:rPr>
        <w:t xml:space="preserve">A(s) amostra(s) deverá(ão) ser entregue(s) em embalagem de comercialização no endereço Rua Dr. Ovídio Pires de Campos, nº 225, 2º andar – </w:t>
      </w:r>
      <w:r>
        <w:rPr>
          <w:rFonts w:ascii="Calibri" w:eastAsia="Calibri" w:hAnsi="Calibri" w:cs="Calibri"/>
          <w:sz w:val="18"/>
        </w:rPr>
        <w:t xml:space="preserve">INSTITUTO DE GESTÃO DE SAÚDE  (PRÉDIO DA ADMINISTRAÇÃO) </w:t>
      </w:r>
      <w:r>
        <w:rPr>
          <w:rFonts w:ascii="Calibri" w:eastAsia="Calibri" w:hAnsi="Calibri" w:cs="Calibri"/>
          <w:sz w:val="20"/>
        </w:rPr>
        <w:t xml:space="preserve"> – HCFMUSP Cerqueira César – </w:t>
      </w:r>
      <w:r>
        <w:rPr>
          <w:rFonts w:ascii="Calibri" w:eastAsia="Calibri" w:hAnsi="Calibri" w:cs="Calibri"/>
          <w:sz w:val="20"/>
        </w:rPr>
        <w:lastRenderedPageBreak/>
        <w:t>São Paulo – SP CEP: 05403-010, no prazo limite de 02 (dois) dias úteis, até as 16h00, a ser divulgado no chat, sendo que o fornecedor assume total responsabilidade pelo envio e por eventual atraso na entrega.</w:t>
      </w:r>
    </w:p>
    <w:p w14:paraId="372D0138" w14:textId="77777777" w:rsidR="00F20451" w:rsidRDefault="00F20451" w:rsidP="00F20451">
      <w:pPr>
        <w:spacing w:after="222"/>
      </w:pPr>
      <w:r>
        <w:rPr>
          <w:rFonts w:ascii="Calibri" w:eastAsia="Calibri" w:hAnsi="Calibri" w:cs="Calibri"/>
          <w:sz w:val="18"/>
        </w:rPr>
        <w:t xml:space="preserve"> </w:t>
      </w:r>
    </w:p>
    <w:p w14:paraId="54948288" w14:textId="77777777" w:rsidR="00F20451" w:rsidRDefault="00F20451" w:rsidP="00F20451">
      <w:pPr>
        <w:spacing w:after="208" w:line="269" w:lineRule="auto"/>
        <w:ind w:left="-5" w:right="-5" w:hanging="10"/>
        <w:jc w:val="both"/>
      </w:pPr>
      <w:r>
        <w:rPr>
          <w:rFonts w:ascii="Calibri" w:eastAsia="Calibri" w:hAnsi="Calibri" w:cs="Calibri"/>
          <w:i/>
          <w:sz w:val="20"/>
        </w:rPr>
        <w:t>4.5. É facultada a prorrogação do prazo estabelecido, por uma única vez e igual período, a partir de solicitação fundamentada no chat pelo interessado, antes de findo o prazo.</w:t>
      </w:r>
    </w:p>
    <w:p w14:paraId="6060764B" w14:textId="77777777" w:rsidR="00F20451" w:rsidRDefault="00F20451" w:rsidP="00F20451">
      <w:pPr>
        <w:spacing w:after="210" w:line="267" w:lineRule="auto"/>
        <w:ind w:left="10" w:right="19" w:hanging="10"/>
        <w:jc w:val="both"/>
      </w:pPr>
      <w:r>
        <w:rPr>
          <w:rFonts w:ascii="Calibri" w:eastAsia="Calibri" w:hAnsi="Calibri" w:cs="Calibri"/>
          <w:sz w:val="20"/>
        </w:rPr>
        <w:t>4.6. As amostra(s) enviada(s) pelos Correios terá(ão) o mesmo prazo de envio considerando a data da postagem. A postagem fora deste prazo ensejará a rejeição da amostra e a proposta será recusada.</w:t>
      </w:r>
    </w:p>
    <w:p w14:paraId="6FA701BF" w14:textId="77777777" w:rsidR="00F20451" w:rsidRDefault="00F20451" w:rsidP="00F20451">
      <w:pPr>
        <w:spacing w:after="208" w:line="269" w:lineRule="auto"/>
        <w:ind w:left="-5" w:right="-5" w:hanging="10"/>
        <w:jc w:val="both"/>
      </w:pPr>
      <w:r>
        <w:rPr>
          <w:rFonts w:ascii="Calibri" w:eastAsia="Calibri" w:hAnsi="Calibri" w:cs="Calibri"/>
          <w:i/>
          <w:sz w:val="20"/>
        </w:rPr>
        <w:t>4.7. No caso de não haver entrega da(s) amostra(s) ou ocorrer atraso na entrega, sem justificativa aceita, ou havendo entrega de amostra(s) fora das especificações previstas, a proposta será recusada.</w:t>
      </w:r>
    </w:p>
    <w:p w14:paraId="74FAE8CE" w14:textId="77777777" w:rsidR="00F20451" w:rsidRDefault="00F20451" w:rsidP="00F20451">
      <w:pPr>
        <w:spacing w:after="210" w:line="267" w:lineRule="auto"/>
        <w:ind w:left="10" w:right="129" w:hanging="10"/>
        <w:jc w:val="both"/>
      </w:pPr>
      <w:r>
        <w:rPr>
          <w:rFonts w:ascii="Calibri" w:eastAsia="Calibri" w:hAnsi="Calibri" w:cs="Calibri"/>
          <w:sz w:val="20"/>
        </w:rPr>
        <w:t xml:space="preserve">4.8. O interessado em acompanhar a análise física do produto enviado como amostra, juntamente com a equipe apoio, deverá solicitar no chat e será agendado o dia e horário para esta análise. Após a análise física, estando em conformidade com o descritivo do edital, o produto será enviado para avaliação do desempenho, a ser realizada pela equipe técnica do complexo HCFMUSP. </w:t>
      </w:r>
    </w:p>
    <w:p w14:paraId="58C220BE" w14:textId="77777777" w:rsidR="00F20451" w:rsidRDefault="00F20451" w:rsidP="00F20451">
      <w:pPr>
        <w:spacing w:after="210" w:line="267" w:lineRule="auto"/>
        <w:ind w:left="10" w:right="127" w:hanging="10"/>
        <w:jc w:val="both"/>
      </w:pPr>
      <w:r>
        <w:rPr>
          <w:rFonts w:ascii="Calibri" w:eastAsia="Calibri" w:hAnsi="Calibri" w:cs="Calibri"/>
          <w:sz w:val="20"/>
        </w:rPr>
        <w:t>4.9. A avaliação do desempenho é realizada, pelos responsáveis dos maiores usuários do item no Complexo HCFMUSP, em ambiente(s) controlado(s) e em procedimento(s) real(is). Nesta etapa, a presença de representantes da empresa será restrita para evitar a exposição dos clientes e profissionais e não alterar a rotina de trabalho das áreas assistenciais, muitas delas com acesso limitado devido às normas internas da CCIH, e considerando, também, a Lei 13.709/2018 - Lei Geral de Proteção de Dados Pessoais.</w:t>
      </w:r>
    </w:p>
    <w:p w14:paraId="2A6F073F" w14:textId="77777777" w:rsidR="00F20451" w:rsidRDefault="00F20451" w:rsidP="00F20451">
      <w:pPr>
        <w:spacing w:after="210" w:line="267" w:lineRule="auto"/>
        <w:ind w:left="10" w:right="130" w:hanging="10"/>
        <w:jc w:val="both"/>
      </w:pPr>
      <w:r>
        <w:rPr>
          <w:rFonts w:ascii="Calibri" w:eastAsia="Calibri" w:hAnsi="Calibri" w:cs="Calibri"/>
          <w:sz w:val="20"/>
        </w:rPr>
        <w:t>4.10. Havendo necessidade de apresentação do produto e/ou treinamento para a sua utilização, o licitante será convocado para esta atividade mediante agendamento prévio, em ambiente controlado e deverá contemplar os períodos M (manhã), T (tarde) e SN (serviço noturno), de todos os Institutos (ICHC, INCOR, ICR, IOT e IPQ) envolvidos.</w:t>
      </w:r>
    </w:p>
    <w:p w14:paraId="0075B6C9" w14:textId="77777777" w:rsidR="00F20451" w:rsidRDefault="00F20451" w:rsidP="00F20451">
      <w:pPr>
        <w:spacing w:after="210" w:line="267" w:lineRule="auto"/>
        <w:ind w:left="10" w:right="19" w:hanging="10"/>
        <w:jc w:val="both"/>
      </w:pPr>
      <w:r>
        <w:rPr>
          <w:rFonts w:ascii="Calibri" w:eastAsia="Calibri" w:hAnsi="Calibri" w:cs="Calibri"/>
          <w:sz w:val="20"/>
        </w:rPr>
        <w:t>4.11. Serão avaliados os padrões mínimos de aceitabilidade:</w:t>
      </w:r>
    </w:p>
    <w:p w14:paraId="3EF1E7A7" w14:textId="77777777" w:rsidR="00F20451" w:rsidRDefault="00F20451" w:rsidP="00F20451">
      <w:pPr>
        <w:spacing w:after="210" w:line="267" w:lineRule="auto"/>
        <w:ind w:left="10" w:right="19" w:hanging="10"/>
        <w:jc w:val="both"/>
      </w:pPr>
      <w:r>
        <w:rPr>
          <w:rFonts w:ascii="Calibri" w:eastAsia="Calibri" w:hAnsi="Calibri" w:cs="Calibri"/>
          <w:sz w:val="20"/>
        </w:rPr>
        <w:t>4.11.1. Os critérios de avaliação de amostras constam no Apêndice 2 deste termo de referência.</w:t>
      </w:r>
    </w:p>
    <w:p w14:paraId="6150D912" w14:textId="77777777" w:rsidR="00F20451" w:rsidRDefault="00F20451" w:rsidP="00F20451">
      <w:pPr>
        <w:spacing w:after="210" w:line="267" w:lineRule="auto"/>
        <w:ind w:left="10" w:right="19" w:hanging="10"/>
        <w:jc w:val="both"/>
      </w:pPr>
      <w:r>
        <w:rPr>
          <w:rFonts w:ascii="Calibri" w:eastAsia="Calibri" w:hAnsi="Calibri" w:cs="Calibri"/>
          <w:sz w:val="20"/>
        </w:rPr>
        <w:t>4.12. O prazo para a realização das avaliações dependerá do tipo de material objeto da contratação.</w:t>
      </w:r>
    </w:p>
    <w:p w14:paraId="75A45FF4" w14:textId="77777777" w:rsidR="00F20451" w:rsidRDefault="00F20451" w:rsidP="00F20451">
      <w:pPr>
        <w:spacing w:after="210" w:line="267" w:lineRule="auto"/>
        <w:ind w:left="10" w:right="19" w:hanging="10"/>
        <w:jc w:val="both"/>
      </w:pPr>
      <w:r>
        <w:rPr>
          <w:rFonts w:ascii="Calibri" w:eastAsia="Calibri" w:hAnsi="Calibri" w:cs="Calibri"/>
          <w:sz w:val="20"/>
        </w:rPr>
        <w:t>4.13. Os resultados das avaliações serão divulgados por meio de mensagem no sistema.</w:t>
      </w:r>
    </w:p>
    <w:p w14:paraId="3E01FA5E" w14:textId="77777777" w:rsidR="00F20451" w:rsidRDefault="00F20451" w:rsidP="00F20451">
      <w:pPr>
        <w:spacing w:after="210" w:line="267" w:lineRule="auto"/>
        <w:ind w:left="10" w:right="19" w:hanging="10"/>
        <w:jc w:val="both"/>
      </w:pPr>
      <w:r>
        <w:rPr>
          <w:rFonts w:ascii="Calibri" w:eastAsia="Calibri" w:hAnsi="Calibri" w:cs="Calibri"/>
          <w:sz w:val="20"/>
        </w:rPr>
        <w:t>4.14. Se a(s) amostra(s) apresentada(s) pelo primeiro classificado não for(em) aprovada(s), será analisada a aceitabilidade da proposta ou lance ofertado pelo segundo classificado. Seguir-se-á com a verificação da(s) amostra(s) e, assim, sucessivamente, até a verificação de uma que atenda às especificações constantes neste Termo de Referência.</w:t>
      </w:r>
    </w:p>
    <w:p w14:paraId="6CEEC32F" w14:textId="77777777" w:rsidR="00F20451" w:rsidRDefault="00F20451" w:rsidP="00F20451">
      <w:pPr>
        <w:spacing w:after="210" w:line="267" w:lineRule="auto"/>
        <w:ind w:left="10" w:right="19" w:hanging="10"/>
        <w:jc w:val="both"/>
      </w:pPr>
      <w:r>
        <w:rPr>
          <w:rFonts w:ascii="Calibri" w:eastAsia="Calibri" w:hAnsi="Calibri" w:cs="Calibri"/>
          <w:sz w:val="20"/>
        </w:rPr>
        <w:t>4.15. Os exemplares colocados à disposição da Administração serão tratados como protótipos, podendo ser manuseados e desmontados pela equipe técnica responsável pela análise, não gerando direito ao ressarcimento.</w:t>
      </w:r>
    </w:p>
    <w:p w14:paraId="1EC2D684" w14:textId="77777777" w:rsidR="00F20451" w:rsidRDefault="00F20451" w:rsidP="00F20451">
      <w:pPr>
        <w:spacing w:after="210" w:line="267" w:lineRule="auto"/>
        <w:ind w:left="10" w:right="130" w:hanging="10"/>
        <w:jc w:val="both"/>
      </w:pPr>
      <w:r>
        <w:rPr>
          <w:rFonts w:ascii="Calibri" w:eastAsia="Calibri" w:hAnsi="Calibri" w:cs="Calibri"/>
          <w:sz w:val="20"/>
        </w:rPr>
        <w:t>4.16. Após a divulgação do resultado final do certame, as amostras entregues e não utilizadas deverão ser recolhidas pelos fornecedores no prazo de 10 (dez) dias úteis, após o qual poderão ser descartadas pela Administração, sem direito a ressarcimento.</w:t>
      </w:r>
    </w:p>
    <w:p w14:paraId="33AC43EB" w14:textId="77777777" w:rsidR="00F20451" w:rsidRDefault="00F20451" w:rsidP="00F20451">
      <w:pPr>
        <w:spacing w:after="237" w:line="267" w:lineRule="auto"/>
        <w:ind w:left="10" w:right="130" w:hanging="10"/>
        <w:jc w:val="both"/>
      </w:pPr>
      <w:r>
        <w:rPr>
          <w:rFonts w:ascii="Calibri" w:eastAsia="Calibri" w:hAnsi="Calibri" w:cs="Calibri"/>
          <w:sz w:val="20"/>
        </w:rPr>
        <w:t>4.17. Os interessados deverão colocar à disposição da Administração todas as condições indispensáveis à realização da avaliação e fornecer, sem ônus, os manuais impressos em língua portuguesa, necessários ao seu perfeito manuseio, quando for o caso.</w:t>
      </w:r>
    </w:p>
    <w:p w14:paraId="72B67086" w14:textId="77777777" w:rsidR="00F20451" w:rsidRPr="00CD5F87" w:rsidRDefault="00F20451" w:rsidP="00CD5F87">
      <w:pPr>
        <w:spacing w:after="0" w:line="240" w:lineRule="auto"/>
        <w:rPr>
          <w:rFonts w:ascii="Calibri Light" w:eastAsia="Times New Roman" w:hAnsi="Calibri Light" w:cs="Calibri Light"/>
          <w:b/>
          <w:bCs/>
          <w:color w:val="000000"/>
          <w:sz w:val="18"/>
          <w:szCs w:val="18"/>
          <w:lang w:eastAsia="pt-BR"/>
        </w:rPr>
      </w:pPr>
      <w:r w:rsidRPr="00CD5F87">
        <w:rPr>
          <w:rFonts w:ascii="Calibri Light" w:eastAsia="Times New Roman" w:hAnsi="Calibri Light" w:cs="Calibri Light"/>
          <w:b/>
          <w:bCs/>
          <w:color w:val="000000"/>
          <w:sz w:val="18"/>
          <w:szCs w:val="18"/>
          <w:lang w:eastAsia="pt-BR"/>
        </w:rPr>
        <w:t>GARANTIA DA CONTRATAÇÃO</w:t>
      </w:r>
    </w:p>
    <w:p w14:paraId="5C07C2EF" w14:textId="77777777" w:rsidR="00F20451" w:rsidRDefault="00F20451" w:rsidP="00F20451">
      <w:pPr>
        <w:spacing w:after="262" w:line="283" w:lineRule="auto"/>
        <w:ind w:left="10" w:hanging="10"/>
        <w:jc w:val="both"/>
      </w:pPr>
      <w:r w:rsidRPr="00CD5F87">
        <w:rPr>
          <w:rFonts w:ascii="Calibri" w:eastAsia="Calibri" w:hAnsi="Calibri" w:cs="Calibri"/>
          <w:sz w:val="20"/>
        </w:rPr>
        <w:t>4.18.  Não haverá exigência da garantia da contratação dos artigos 96 e seguintes da Lei nº 14.133, de 2021, pelas razões constantes do Estudo Técnico Preliminar</w:t>
      </w:r>
      <w:r>
        <w:rPr>
          <w:rFonts w:ascii="Arial" w:eastAsia="Arial" w:hAnsi="Arial" w:cs="Arial"/>
          <w:sz w:val="20"/>
        </w:rPr>
        <w:t>.</w:t>
      </w:r>
    </w:p>
    <w:p w14:paraId="30CE2736" w14:textId="77777777" w:rsidR="00F20451" w:rsidRPr="00CD5F87" w:rsidRDefault="00F20451" w:rsidP="00CD5F87">
      <w:pPr>
        <w:spacing w:after="0" w:line="240" w:lineRule="auto"/>
        <w:rPr>
          <w:rFonts w:ascii="Calibri Light" w:eastAsia="Times New Roman" w:hAnsi="Calibri Light" w:cs="Calibri Light"/>
          <w:b/>
          <w:bCs/>
          <w:color w:val="000000"/>
          <w:sz w:val="18"/>
          <w:szCs w:val="18"/>
          <w:lang w:eastAsia="pt-BR"/>
        </w:rPr>
      </w:pPr>
      <w:r w:rsidRPr="00CD5F87">
        <w:rPr>
          <w:rFonts w:ascii="Calibri Light" w:eastAsia="Times New Roman" w:hAnsi="Calibri Light" w:cs="Calibri Light"/>
          <w:b/>
          <w:bCs/>
          <w:color w:val="000000"/>
          <w:sz w:val="18"/>
          <w:szCs w:val="18"/>
          <w:lang w:eastAsia="pt-BR"/>
        </w:rPr>
        <w:t>5. MODELO DE EXECUÇÃO DO OBJETO</w:t>
      </w:r>
    </w:p>
    <w:p w14:paraId="6FC31B08" w14:textId="77777777" w:rsidR="00F20451" w:rsidRPr="00CD5F87" w:rsidRDefault="00F20451" w:rsidP="00CD5F87">
      <w:pPr>
        <w:spacing w:after="0" w:line="240" w:lineRule="auto"/>
        <w:rPr>
          <w:rFonts w:ascii="Calibri Light" w:eastAsia="Times New Roman" w:hAnsi="Calibri Light" w:cs="Calibri Light"/>
          <w:b/>
          <w:bCs/>
          <w:color w:val="000000"/>
          <w:sz w:val="18"/>
          <w:szCs w:val="18"/>
          <w:lang w:eastAsia="pt-BR"/>
        </w:rPr>
      </w:pPr>
      <w:r w:rsidRPr="00CD5F87">
        <w:rPr>
          <w:rFonts w:ascii="Calibri Light" w:eastAsia="Times New Roman" w:hAnsi="Calibri Light" w:cs="Calibri Light"/>
          <w:b/>
          <w:bCs/>
          <w:color w:val="000000"/>
          <w:sz w:val="18"/>
          <w:szCs w:val="18"/>
          <w:lang w:eastAsia="pt-BR"/>
        </w:rPr>
        <w:t>Condições de Entrega</w:t>
      </w:r>
    </w:p>
    <w:p w14:paraId="2AF0E8A2" w14:textId="77777777" w:rsidR="00F20451" w:rsidRPr="00CD5F87" w:rsidRDefault="00F20451" w:rsidP="00F20451">
      <w:pPr>
        <w:spacing w:after="212" w:line="283" w:lineRule="auto"/>
        <w:ind w:left="10" w:hanging="10"/>
        <w:jc w:val="both"/>
        <w:rPr>
          <w:rFonts w:ascii="Calibri" w:eastAsia="Calibri" w:hAnsi="Calibri" w:cs="Calibri"/>
          <w:sz w:val="20"/>
        </w:rPr>
      </w:pPr>
      <w:r w:rsidRPr="00CD5F87">
        <w:rPr>
          <w:rFonts w:ascii="Calibri" w:eastAsia="Calibri" w:hAnsi="Calibri" w:cs="Calibri"/>
          <w:sz w:val="20"/>
        </w:rPr>
        <w:lastRenderedPageBreak/>
        <w:t>5.1. O objeto desta licitação deverá ser entregue, após a publicação do extrato do contrato ou da Nota de Empenho no PNCP e em https://www.hc.fm.usp.br/transparencia/index.php, nas condições especificadas neste Termo de Referência.</w:t>
      </w:r>
    </w:p>
    <w:p w14:paraId="771969E3" w14:textId="77777777" w:rsidR="00F20451" w:rsidRDefault="00F20451" w:rsidP="00F20451">
      <w:pPr>
        <w:spacing w:after="212" w:line="283" w:lineRule="auto"/>
        <w:ind w:left="10" w:right="130" w:hanging="10"/>
        <w:jc w:val="both"/>
      </w:pPr>
      <w:r w:rsidRPr="00CD5F87">
        <w:rPr>
          <w:rFonts w:ascii="Calibri" w:eastAsia="Calibri" w:hAnsi="Calibri" w:cs="Calibri"/>
          <w:sz w:val="20"/>
        </w:rPr>
        <w:t>5.2. O prazo de entrega dos bens será agendado pela unidade recebedora do HCFMUSP, por meio eletrônico, e o agendamento deverá observar o prazo de 5 (cinco) a 15 (quinze) dias corridos, contados do dia útil posterior ao envio da notificação do agendamento</w:t>
      </w:r>
      <w:r>
        <w:rPr>
          <w:rFonts w:ascii="Arial" w:eastAsia="Arial" w:hAnsi="Arial" w:cs="Arial"/>
          <w:sz w:val="20"/>
        </w:rPr>
        <w:t>.</w:t>
      </w:r>
    </w:p>
    <w:p w14:paraId="25001DE8" w14:textId="77777777" w:rsidR="00F20451" w:rsidRDefault="00F20451" w:rsidP="00F20451">
      <w:pPr>
        <w:spacing w:after="262"/>
        <w:ind w:left="-5" w:hanging="10"/>
      </w:pPr>
      <w:r>
        <w:rPr>
          <w:rFonts w:ascii="Arial" w:eastAsia="Arial" w:hAnsi="Arial" w:cs="Arial"/>
          <w:b/>
          <w:sz w:val="20"/>
        </w:rPr>
        <w:t xml:space="preserve">Prazo de validade do produto na entrega: </w:t>
      </w:r>
    </w:p>
    <w:p w14:paraId="10880B40" w14:textId="77777777" w:rsidR="00F20451" w:rsidRPr="00CD5F87" w:rsidRDefault="00F20451" w:rsidP="00CD5F87">
      <w:pPr>
        <w:spacing w:after="212" w:line="283" w:lineRule="auto"/>
        <w:ind w:left="10" w:hanging="10"/>
        <w:jc w:val="both"/>
        <w:rPr>
          <w:rFonts w:ascii="Calibri" w:eastAsia="Calibri" w:hAnsi="Calibri" w:cs="Calibri"/>
          <w:sz w:val="20"/>
        </w:rPr>
      </w:pPr>
      <w:r w:rsidRPr="00CD5F87">
        <w:rPr>
          <w:rFonts w:ascii="Calibri" w:eastAsia="Calibri" w:hAnsi="Calibri" w:cs="Calibri"/>
          <w:sz w:val="20"/>
        </w:rPr>
        <w:t>5.3. Por ocasião da entrega na unidade recebedora do HCFMUSP, os produtos com validade igual ou inferior a 12 (doze) meses a partir da data de fabricação, deverão apresentar validade de no mínimo 2/3 (dois terços) do prazo de validade total.</w:t>
      </w:r>
    </w:p>
    <w:p w14:paraId="4E24520B" w14:textId="77777777" w:rsidR="00F20451" w:rsidRPr="00CD5F87" w:rsidRDefault="00F20451" w:rsidP="00CD5F87">
      <w:pPr>
        <w:spacing w:after="212" w:line="283" w:lineRule="auto"/>
        <w:ind w:left="10" w:hanging="10"/>
        <w:jc w:val="both"/>
        <w:rPr>
          <w:rFonts w:ascii="Calibri" w:eastAsia="Calibri" w:hAnsi="Calibri" w:cs="Calibri"/>
          <w:sz w:val="20"/>
        </w:rPr>
      </w:pPr>
      <w:r w:rsidRPr="00CD5F87">
        <w:rPr>
          <w:rFonts w:ascii="Calibri" w:eastAsia="Calibri" w:hAnsi="Calibri" w:cs="Calibri"/>
          <w:sz w:val="20"/>
        </w:rPr>
        <w:t xml:space="preserve"> </w:t>
      </w:r>
    </w:p>
    <w:p w14:paraId="626C47E3" w14:textId="77777777" w:rsidR="00F20451" w:rsidRPr="00CD5F87" w:rsidRDefault="00F20451" w:rsidP="00F20451">
      <w:pPr>
        <w:spacing w:after="212" w:line="283" w:lineRule="auto"/>
        <w:ind w:left="10" w:hanging="10"/>
        <w:jc w:val="both"/>
        <w:rPr>
          <w:rFonts w:ascii="Calibri" w:eastAsia="Calibri" w:hAnsi="Calibri" w:cs="Calibri"/>
          <w:sz w:val="20"/>
        </w:rPr>
      </w:pPr>
      <w:r w:rsidRPr="00CD5F87">
        <w:rPr>
          <w:rFonts w:ascii="Calibri" w:eastAsia="Calibri" w:hAnsi="Calibri" w:cs="Calibri"/>
          <w:sz w:val="20"/>
        </w:rPr>
        <w:t>5.4. Por ocasião da entrega na unidade requisitante do HCFMUSP, os produtos com validade maior que 12 (doze) meses a partir da data de fabricação, deverão ser entregues com prazo de validade de no mínimo de 12 (doze) meses a partir da data da entrega.</w:t>
      </w:r>
    </w:p>
    <w:p w14:paraId="6F0EABC6" w14:textId="77777777" w:rsidR="00F20451" w:rsidRPr="00CD5F87" w:rsidRDefault="00F20451" w:rsidP="00CD5F87">
      <w:pPr>
        <w:spacing w:after="212" w:line="283" w:lineRule="auto"/>
        <w:ind w:left="10" w:hanging="10"/>
        <w:jc w:val="both"/>
        <w:rPr>
          <w:rFonts w:ascii="Calibri" w:eastAsia="Calibri" w:hAnsi="Calibri" w:cs="Calibri"/>
          <w:sz w:val="20"/>
        </w:rPr>
      </w:pPr>
      <w:r w:rsidRPr="00CD5F87">
        <w:rPr>
          <w:rFonts w:ascii="Calibri" w:eastAsia="Calibri" w:hAnsi="Calibri" w:cs="Calibri"/>
          <w:sz w:val="20"/>
        </w:rPr>
        <w:t>5.4.1. Caso, durante o fornecimento, o produto para saúde objeto do presente expediente seja bloqueado para uso pela Autoridade Sanitária, fica o fornecedor obrigado a efetuar um cronograma de troca e substituição do produto, com cada unidade do HCFMUSP, de forma descentralizada, em um prazo de 24 (vinte e quatro) horas a partir da notificação do Núcleo de Infraestrutura e Logística - NILO, garantindo o abastecimento da unidade para assistência e a não utilização do produto bloqueado.</w:t>
      </w:r>
    </w:p>
    <w:p w14:paraId="20E0C2BE" w14:textId="77777777" w:rsidR="00F20451" w:rsidRPr="00CD5F87" w:rsidRDefault="00F20451" w:rsidP="00CD5F87">
      <w:pPr>
        <w:spacing w:after="212" w:line="283" w:lineRule="auto"/>
        <w:ind w:left="10" w:hanging="10"/>
        <w:jc w:val="both"/>
        <w:rPr>
          <w:rFonts w:ascii="Calibri" w:eastAsia="Calibri" w:hAnsi="Calibri" w:cs="Calibri"/>
          <w:sz w:val="20"/>
        </w:rPr>
      </w:pPr>
      <w:r w:rsidRPr="00CD5F87">
        <w:rPr>
          <w:rFonts w:ascii="Calibri" w:eastAsia="Calibri" w:hAnsi="Calibri" w:cs="Calibri"/>
          <w:sz w:val="20"/>
        </w:rPr>
        <w:t>5.4.2. O recolhimento do produto, bem como sua troca, deverá ocorrer diretamente nos pontos de entrega, sendo o produto substituto de mesma especificação técnica, já pré-aprovado pelo Grupo Técnico de Avaliação de Materiais do HCFMUSP e que esteja devidamente regularizado (registrado ou cadastrado) junto à Autoridade Sanitária/Ministério da Saúde.</w:t>
      </w:r>
    </w:p>
    <w:p w14:paraId="699BB795" w14:textId="77777777" w:rsidR="00F20451" w:rsidRPr="00CD5F87" w:rsidRDefault="00F20451" w:rsidP="00CD5F87">
      <w:pPr>
        <w:spacing w:after="212" w:line="283" w:lineRule="auto"/>
        <w:ind w:left="10" w:hanging="10"/>
        <w:jc w:val="both"/>
        <w:rPr>
          <w:rFonts w:ascii="Calibri" w:eastAsia="Calibri" w:hAnsi="Calibri" w:cs="Calibri"/>
          <w:sz w:val="20"/>
        </w:rPr>
      </w:pPr>
      <w:r w:rsidRPr="00CD5F87">
        <w:rPr>
          <w:rFonts w:ascii="Calibri" w:eastAsia="Calibri" w:hAnsi="Calibri" w:cs="Calibri"/>
          <w:sz w:val="20"/>
        </w:rPr>
        <w:t>5.5. Caso não seja possível a entrega na data assinalada, o fornecedor deverá comunicar as razões respectivas com pelo menos 02 (dois) dias de antecedência para que qualquer pleito de prorrogação de prazo seja analisado, ressalvadas situações de caso fortuito e força maior.</w:t>
      </w:r>
    </w:p>
    <w:p w14:paraId="15DEB0B0" w14:textId="77777777" w:rsidR="00F20451" w:rsidRPr="00CD5F87" w:rsidRDefault="00F20451" w:rsidP="00F20451">
      <w:pPr>
        <w:spacing w:after="212" w:line="283" w:lineRule="auto"/>
        <w:ind w:left="10" w:hanging="10"/>
        <w:jc w:val="both"/>
        <w:rPr>
          <w:rFonts w:ascii="Calibri" w:eastAsia="Calibri" w:hAnsi="Calibri" w:cs="Calibri"/>
          <w:sz w:val="20"/>
        </w:rPr>
      </w:pPr>
      <w:r w:rsidRPr="00CD5F87">
        <w:rPr>
          <w:rFonts w:ascii="Calibri" w:eastAsia="Calibri" w:hAnsi="Calibri" w:cs="Calibri"/>
          <w:sz w:val="20"/>
        </w:rPr>
        <w:t>5.6. O(s) bem(ns) deverá(ão) ser entregue(s) no(s) endereço(s) constante(s) da respectiva Nota de Empenho, conforme relação a seguir:</w:t>
      </w:r>
    </w:p>
    <w:p w14:paraId="1B2D1673" w14:textId="77777777" w:rsidR="00F20451" w:rsidRDefault="00F20451" w:rsidP="00F20451">
      <w:pPr>
        <w:spacing w:after="235"/>
        <w:ind w:left="15"/>
      </w:pPr>
      <w:r>
        <w:rPr>
          <w:rFonts w:ascii="Calibri" w:eastAsia="Calibri" w:hAnsi="Calibri" w:cs="Calibri"/>
          <w:sz w:val="18"/>
        </w:rPr>
        <w:t xml:space="preserve"> </w:t>
      </w:r>
    </w:p>
    <w:p w14:paraId="2BC2EA55" w14:textId="77777777" w:rsidR="00F20451" w:rsidRPr="00CD5F87" w:rsidRDefault="00F20451" w:rsidP="00CD5F87">
      <w:pPr>
        <w:spacing w:after="212" w:line="283" w:lineRule="auto"/>
        <w:ind w:left="10" w:hanging="10"/>
        <w:jc w:val="both"/>
        <w:rPr>
          <w:rFonts w:ascii="Calibri" w:eastAsia="Calibri" w:hAnsi="Calibri" w:cs="Calibri"/>
          <w:sz w:val="20"/>
        </w:rPr>
      </w:pPr>
      <w:r w:rsidRPr="00CD5F87">
        <w:rPr>
          <w:rFonts w:ascii="Calibri" w:eastAsia="Calibri" w:hAnsi="Calibri" w:cs="Calibri"/>
          <w:sz w:val="20"/>
        </w:rPr>
        <w:t>5.6.1. CD - CENTRO DE DISTRIBUIÇÃO DE MATERIAIS DO HCFMUSP</w:t>
      </w:r>
    </w:p>
    <w:p w14:paraId="6FA48D54" w14:textId="77777777" w:rsidR="00F20451" w:rsidRPr="00CD5F87" w:rsidRDefault="00F20451" w:rsidP="00CD5F87">
      <w:pPr>
        <w:spacing w:after="212" w:line="283" w:lineRule="auto"/>
        <w:ind w:left="10" w:hanging="10"/>
        <w:jc w:val="both"/>
        <w:rPr>
          <w:rFonts w:ascii="Calibri" w:eastAsia="Calibri" w:hAnsi="Calibri" w:cs="Calibri"/>
          <w:sz w:val="20"/>
        </w:rPr>
      </w:pPr>
      <w:r w:rsidRPr="00CD5F87">
        <w:rPr>
          <w:rFonts w:ascii="Calibri" w:eastAsia="Calibri" w:hAnsi="Calibri" w:cs="Calibri"/>
          <w:sz w:val="20"/>
        </w:rPr>
        <w:t>WORLD LOGISTIC CENTER, na Av. Aruanã, nº 280/352 - Alphaville, Galpões nº 3 e nº 4 Distrito e Município de Barueri, São Paulo. CEP 06460-010 Fone (11) 3555-5800 IC - LAF</w:t>
      </w:r>
    </w:p>
    <w:p w14:paraId="16CEB02D" w14:textId="77777777" w:rsidR="00F20451" w:rsidRPr="00CD5F87" w:rsidRDefault="00F20451" w:rsidP="00CD5F87">
      <w:pPr>
        <w:spacing w:after="212" w:line="283" w:lineRule="auto"/>
        <w:ind w:left="10" w:hanging="10"/>
        <w:jc w:val="both"/>
        <w:rPr>
          <w:rFonts w:ascii="Calibri" w:eastAsia="Calibri" w:hAnsi="Calibri" w:cs="Calibri"/>
          <w:sz w:val="20"/>
        </w:rPr>
      </w:pPr>
      <w:r w:rsidRPr="00CD5F87">
        <w:rPr>
          <w:rFonts w:ascii="Calibri" w:eastAsia="Calibri" w:hAnsi="Calibri" w:cs="Calibri"/>
          <w:sz w:val="20"/>
        </w:rPr>
        <w:t xml:space="preserve"> </w:t>
      </w:r>
    </w:p>
    <w:p w14:paraId="12496E1D" w14:textId="77777777" w:rsidR="00F20451" w:rsidRPr="00CD5F87" w:rsidRDefault="00F20451" w:rsidP="00CD5F87">
      <w:pPr>
        <w:spacing w:after="212" w:line="283" w:lineRule="auto"/>
        <w:ind w:left="10" w:hanging="10"/>
        <w:jc w:val="both"/>
        <w:rPr>
          <w:rFonts w:ascii="Calibri" w:eastAsia="Calibri" w:hAnsi="Calibri" w:cs="Calibri"/>
          <w:sz w:val="20"/>
        </w:rPr>
      </w:pPr>
      <w:r w:rsidRPr="00CD5F87">
        <w:rPr>
          <w:rFonts w:ascii="Calibri" w:eastAsia="Calibri" w:hAnsi="Calibri" w:cs="Calibri"/>
          <w:sz w:val="20"/>
        </w:rPr>
        <w:t>5.6.2. INSTITUTO CENTRAL</w:t>
      </w:r>
    </w:p>
    <w:p w14:paraId="2612181E" w14:textId="77777777" w:rsidR="00F20451" w:rsidRPr="00CD5F87" w:rsidRDefault="00F20451" w:rsidP="00CD5F87">
      <w:pPr>
        <w:spacing w:after="212" w:line="283" w:lineRule="auto"/>
        <w:ind w:left="10" w:hanging="10"/>
        <w:jc w:val="both"/>
        <w:rPr>
          <w:rFonts w:ascii="Calibri" w:eastAsia="Calibri" w:hAnsi="Calibri" w:cs="Calibri"/>
          <w:sz w:val="20"/>
        </w:rPr>
      </w:pPr>
      <w:r w:rsidRPr="00CD5F87">
        <w:rPr>
          <w:rFonts w:ascii="Calibri" w:eastAsia="Calibri" w:hAnsi="Calibri" w:cs="Calibri"/>
          <w:sz w:val="20"/>
        </w:rPr>
        <w:t>5.6.2.1. LAF – Logística da Assistência Farmacêutica (MEDICAMENTOS)</w:t>
      </w:r>
    </w:p>
    <w:p w14:paraId="1F33F89D" w14:textId="77777777" w:rsidR="00F20451" w:rsidRPr="00CD5F87" w:rsidRDefault="00F20451" w:rsidP="00CD5F87">
      <w:pPr>
        <w:spacing w:after="212" w:line="283" w:lineRule="auto"/>
        <w:ind w:left="10" w:hanging="10"/>
        <w:jc w:val="both"/>
        <w:rPr>
          <w:rFonts w:ascii="Calibri" w:eastAsia="Calibri" w:hAnsi="Calibri" w:cs="Calibri"/>
          <w:sz w:val="20"/>
        </w:rPr>
      </w:pPr>
      <w:r w:rsidRPr="00CD5F87">
        <w:rPr>
          <w:rFonts w:ascii="Calibri" w:eastAsia="Calibri" w:hAnsi="Calibri" w:cs="Calibri"/>
          <w:sz w:val="20"/>
        </w:rPr>
        <w:t>Local: Av. Dr. Enéas de Carvalho Aguiar, nº 255, 8º andar PAMB De Bloco 5 Fone: 2661-6620 / 26616621 IC</w:t>
      </w:r>
    </w:p>
    <w:p w14:paraId="27D55DFA" w14:textId="77777777" w:rsidR="00F20451" w:rsidRPr="00CD5F87" w:rsidRDefault="00F20451" w:rsidP="00CD5F87">
      <w:pPr>
        <w:spacing w:after="212" w:line="283" w:lineRule="auto"/>
        <w:ind w:left="10" w:hanging="10"/>
        <w:jc w:val="both"/>
        <w:rPr>
          <w:rFonts w:ascii="Calibri" w:eastAsia="Calibri" w:hAnsi="Calibri" w:cs="Calibri"/>
          <w:sz w:val="20"/>
        </w:rPr>
      </w:pPr>
      <w:r w:rsidRPr="00CD5F87">
        <w:rPr>
          <w:rFonts w:ascii="Calibri" w:eastAsia="Calibri" w:hAnsi="Calibri" w:cs="Calibri"/>
          <w:sz w:val="20"/>
        </w:rPr>
        <w:t xml:space="preserve"> </w:t>
      </w:r>
    </w:p>
    <w:p w14:paraId="3F83097A" w14:textId="77777777" w:rsidR="00F20451" w:rsidRPr="00CD5F87" w:rsidRDefault="00F20451" w:rsidP="00CD5F87">
      <w:pPr>
        <w:spacing w:after="212" w:line="283" w:lineRule="auto"/>
        <w:ind w:left="10" w:hanging="10"/>
        <w:jc w:val="both"/>
        <w:rPr>
          <w:rFonts w:ascii="Calibri" w:eastAsia="Calibri" w:hAnsi="Calibri" w:cs="Calibri"/>
          <w:sz w:val="20"/>
        </w:rPr>
      </w:pPr>
      <w:r w:rsidRPr="00CD5F87">
        <w:rPr>
          <w:rFonts w:ascii="Calibri" w:eastAsia="Calibri" w:hAnsi="Calibri" w:cs="Calibri"/>
          <w:sz w:val="20"/>
        </w:rPr>
        <w:t>5.6.2.2. IC MATERIAL</w:t>
      </w:r>
    </w:p>
    <w:p w14:paraId="210F5601" w14:textId="77777777" w:rsidR="00F20451" w:rsidRPr="00CD5F87" w:rsidRDefault="00F20451" w:rsidP="00CD5F87">
      <w:pPr>
        <w:spacing w:after="212" w:line="283" w:lineRule="auto"/>
        <w:ind w:left="10" w:hanging="10"/>
        <w:jc w:val="both"/>
        <w:rPr>
          <w:rFonts w:ascii="Calibri" w:eastAsia="Calibri" w:hAnsi="Calibri" w:cs="Calibri"/>
          <w:sz w:val="20"/>
        </w:rPr>
      </w:pPr>
      <w:r w:rsidRPr="00CD5F87">
        <w:rPr>
          <w:rFonts w:ascii="Calibri" w:eastAsia="Calibri" w:hAnsi="Calibri" w:cs="Calibri"/>
          <w:sz w:val="20"/>
        </w:rPr>
        <w:lastRenderedPageBreak/>
        <w:t>5.6.2.2.1. Almoxarifado Central</w:t>
      </w:r>
    </w:p>
    <w:p w14:paraId="64631F2E" w14:textId="77777777" w:rsidR="00F20451" w:rsidRPr="00CD5F87" w:rsidRDefault="00F20451" w:rsidP="00CD5F87">
      <w:pPr>
        <w:spacing w:after="212" w:line="283" w:lineRule="auto"/>
        <w:ind w:left="10" w:hanging="10"/>
        <w:jc w:val="both"/>
        <w:rPr>
          <w:rFonts w:ascii="Calibri" w:eastAsia="Calibri" w:hAnsi="Calibri" w:cs="Calibri"/>
          <w:sz w:val="20"/>
        </w:rPr>
      </w:pPr>
      <w:r w:rsidRPr="00CD5F87">
        <w:rPr>
          <w:rFonts w:ascii="Calibri" w:eastAsia="Calibri" w:hAnsi="Calibri" w:cs="Calibri"/>
          <w:sz w:val="20"/>
        </w:rPr>
        <w:t>Local: Av. Dr. Enéas de Carvalho Aguiar, s/n, subsolo do PAMB – altura do nº 600 da Av. Rebouças Fone: 2661- 6038 / 2661-6597</w:t>
      </w:r>
    </w:p>
    <w:p w14:paraId="49B0181A" w14:textId="77777777" w:rsidR="00F20451" w:rsidRPr="00CD5F87" w:rsidRDefault="00F20451" w:rsidP="00CD5F87">
      <w:pPr>
        <w:spacing w:after="212" w:line="283" w:lineRule="auto"/>
        <w:ind w:left="10" w:hanging="10"/>
        <w:jc w:val="both"/>
        <w:rPr>
          <w:rFonts w:ascii="Calibri" w:eastAsia="Calibri" w:hAnsi="Calibri" w:cs="Calibri"/>
          <w:sz w:val="20"/>
        </w:rPr>
      </w:pPr>
      <w:r w:rsidRPr="00CD5F87">
        <w:rPr>
          <w:rFonts w:ascii="Calibri" w:eastAsia="Calibri" w:hAnsi="Calibri" w:cs="Calibri"/>
          <w:sz w:val="20"/>
        </w:rPr>
        <w:t>5.6.2.2.2. UFAR – UFAR MATERIAIS</w:t>
      </w:r>
    </w:p>
    <w:p w14:paraId="039988F9" w14:textId="77777777" w:rsidR="00F20451" w:rsidRPr="00CD5F87" w:rsidRDefault="00F20451" w:rsidP="00CD5F87">
      <w:pPr>
        <w:spacing w:after="212" w:line="283" w:lineRule="auto"/>
        <w:ind w:left="10" w:hanging="10"/>
        <w:jc w:val="both"/>
        <w:rPr>
          <w:rFonts w:ascii="Calibri" w:eastAsia="Calibri" w:hAnsi="Calibri" w:cs="Calibri"/>
          <w:sz w:val="20"/>
        </w:rPr>
      </w:pPr>
      <w:r w:rsidRPr="00CD5F87">
        <w:rPr>
          <w:rFonts w:ascii="Calibri" w:eastAsia="Calibri" w:hAnsi="Calibri" w:cs="Calibri"/>
          <w:sz w:val="20"/>
        </w:rPr>
        <w:t>Almoxarifado da Unidade Farmacotécnica Hospitalar</w:t>
      </w:r>
    </w:p>
    <w:p w14:paraId="34285EAC" w14:textId="77777777" w:rsidR="00F20451" w:rsidRPr="00CD5F87" w:rsidRDefault="00F20451" w:rsidP="00CD5F87">
      <w:pPr>
        <w:spacing w:after="212" w:line="283" w:lineRule="auto"/>
        <w:ind w:left="10" w:hanging="10"/>
        <w:jc w:val="both"/>
        <w:rPr>
          <w:rFonts w:ascii="Calibri" w:eastAsia="Calibri" w:hAnsi="Calibri" w:cs="Calibri"/>
          <w:sz w:val="20"/>
        </w:rPr>
      </w:pPr>
      <w:r w:rsidRPr="00CD5F87">
        <w:rPr>
          <w:rFonts w:ascii="Calibri" w:eastAsia="Calibri" w:hAnsi="Calibri" w:cs="Calibri"/>
          <w:sz w:val="20"/>
        </w:rPr>
        <w:t>Local: Av. Dr. Ovídio Pires de Campos, 8.º andar – Bloco 8 Fone: 2661-6622/ 2661-6625</w:t>
      </w:r>
    </w:p>
    <w:p w14:paraId="0BC4B864" w14:textId="77777777" w:rsidR="00F20451" w:rsidRPr="00CD5F87" w:rsidRDefault="00F20451" w:rsidP="00CD5F87">
      <w:pPr>
        <w:spacing w:after="212" w:line="283" w:lineRule="auto"/>
        <w:ind w:left="10" w:hanging="10"/>
        <w:jc w:val="both"/>
        <w:rPr>
          <w:rFonts w:ascii="Calibri" w:eastAsia="Calibri" w:hAnsi="Calibri" w:cs="Calibri"/>
          <w:sz w:val="20"/>
        </w:rPr>
      </w:pPr>
      <w:r w:rsidRPr="00CD5F87">
        <w:rPr>
          <w:rFonts w:ascii="Calibri" w:eastAsia="Calibri" w:hAnsi="Calibri" w:cs="Calibri"/>
          <w:sz w:val="20"/>
        </w:rPr>
        <w:t xml:space="preserve"> </w:t>
      </w:r>
    </w:p>
    <w:p w14:paraId="14E287E2" w14:textId="77777777" w:rsidR="00F20451" w:rsidRPr="00CD5F87" w:rsidRDefault="00F20451" w:rsidP="00CD5F87">
      <w:pPr>
        <w:spacing w:after="212" w:line="283" w:lineRule="auto"/>
        <w:ind w:left="10" w:hanging="10"/>
        <w:jc w:val="both"/>
        <w:rPr>
          <w:rFonts w:ascii="Calibri" w:eastAsia="Calibri" w:hAnsi="Calibri" w:cs="Calibri"/>
          <w:sz w:val="20"/>
        </w:rPr>
      </w:pPr>
      <w:r w:rsidRPr="00CD5F87">
        <w:rPr>
          <w:rFonts w:ascii="Calibri" w:eastAsia="Calibri" w:hAnsi="Calibri" w:cs="Calibri"/>
          <w:sz w:val="20"/>
        </w:rPr>
        <w:t xml:space="preserve">5.6.3. INSTITUTO DA CRIANÇA ICR </w:t>
      </w:r>
    </w:p>
    <w:p w14:paraId="51839B61" w14:textId="77777777" w:rsidR="00F20451" w:rsidRPr="00CD5F87" w:rsidRDefault="00F20451" w:rsidP="00CD5F87">
      <w:pPr>
        <w:spacing w:after="212" w:line="283" w:lineRule="auto"/>
        <w:ind w:left="10" w:hanging="10"/>
        <w:jc w:val="both"/>
        <w:rPr>
          <w:rFonts w:ascii="Calibri" w:eastAsia="Calibri" w:hAnsi="Calibri" w:cs="Calibri"/>
          <w:sz w:val="20"/>
        </w:rPr>
      </w:pPr>
      <w:r w:rsidRPr="00CD5F87">
        <w:rPr>
          <w:rFonts w:ascii="Calibri" w:eastAsia="Calibri" w:hAnsi="Calibri" w:cs="Calibri"/>
          <w:sz w:val="20"/>
        </w:rPr>
        <w:t>5.6.3.1. ICR FARMÁCIA</w:t>
      </w:r>
    </w:p>
    <w:p w14:paraId="40ECAD82" w14:textId="77777777" w:rsidR="00F20451" w:rsidRPr="00CD5F87" w:rsidRDefault="00F20451" w:rsidP="00CD5F87">
      <w:pPr>
        <w:spacing w:after="212" w:line="283" w:lineRule="auto"/>
        <w:ind w:left="10" w:hanging="10"/>
        <w:jc w:val="both"/>
        <w:rPr>
          <w:rFonts w:ascii="Calibri" w:eastAsia="Calibri" w:hAnsi="Calibri" w:cs="Calibri"/>
          <w:sz w:val="20"/>
        </w:rPr>
      </w:pPr>
      <w:r w:rsidRPr="00CD5F87">
        <w:rPr>
          <w:rFonts w:ascii="Calibri" w:eastAsia="Calibri" w:hAnsi="Calibri" w:cs="Calibri"/>
          <w:sz w:val="20"/>
        </w:rPr>
        <w:t>Farmácia do ICR</w:t>
      </w:r>
    </w:p>
    <w:p w14:paraId="52C922D3" w14:textId="77777777" w:rsidR="00F20451" w:rsidRPr="00CD5F87" w:rsidRDefault="00F20451" w:rsidP="00CD5F87">
      <w:pPr>
        <w:spacing w:after="212" w:line="283" w:lineRule="auto"/>
        <w:ind w:left="10" w:hanging="10"/>
        <w:jc w:val="both"/>
        <w:rPr>
          <w:rFonts w:ascii="Calibri" w:eastAsia="Calibri" w:hAnsi="Calibri" w:cs="Calibri"/>
          <w:sz w:val="20"/>
        </w:rPr>
      </w:pPr>
      <w:r w:rsidRPr="00CD5F87">
        <w:rPr>
          <w:rFonts w:ascii="Calibri" w:eastAsia="Calibri" w:hAnsi="Calibri" w:cs="Calibri"/>
          <w:sz w:val="20"/>
        </w:rPr>
        <w:t>Local: Av. Dr. Enéas de Carvalho Aguiar, nº 647 – 3º andar Fone: 2661-8576 / 8573 ICR</w:t>
      </w:r>
    </w:p>
    <w:p w14:paraId="0949E740" w14:textId="77777777" w:rsidR="00F20451" w:rsidRPr="00CD5F87" w:rsidRDefault="00F20451" w:rsidP="00CD5F87">
      <w:pPr>
        <w:spacing w:after="212" w:line="283" w:lineRule="auto"/>
        <w:ind w:left="10" w:hanging="10"/>
        <w:jc w:val="both"/>
        <w:rPr>
          <w:rFonts w:ascii="Calibri" w:eastAsia="Calibri" w:hAnsi="Calibri" w:cs="Calibri"/>
          <w:sz w:val="20"/>
        </w:rPr>
      </w:pPr>
      <w:r w:rsidRPr="00CD5F87">
        <w:rPr>
          <w:rFonts w:ascii="Calibri" w:eastAsia="Calibri" w:hAnsi="Calibri" w:cs="Calibri"/>
          <w:sz w:val="20"/>
        </w:rPr>
        <w:t>5.6.3.2. ALX GERAL INSTITUTO DA CRIANÇA</w:t>
      </w:r>
    </w:p>
    <w:p w14:paraId="7339399F" w14:textId="77777777" w:rsidR="00F20451" w:rsidRPr="00CD5F87" w:rsidRDefault="00F20451" w:rsidP="00CD5F87">
      <w:pPr>
        <w:spacing w:after="212" w:line="283" w:lineRule="auto"/>
        <w:ind w:left="10" w:hanging="10"/>
        <w:jc w:val="both"/>
        <w:rPr>
          <w:rFonts w:ascii="Calibri" w:eastAsia="Calibri" w:hAnsi="Calibri" w:cs="Calibri"/>
          <w:sz w:val="20"/>
        </w:rPr>
      </w:pPr>
      <w:r w:rsidRPr="00CD5F87">
        <w:rPr>
          <w:rFonts w:ascii="Calibri" w:eastAsia="Calibri" w:hAnsi="Calibri" w:cs="Calibri"/>
          <w:sz w:val="20"/>
        </w:rPr>
        <w:t xml:space="preserve">Local: Av. Dr. Enéas de Carvalho Aguiar, nº 647 – 2º andar Fone: Fone: 2661-8938 / 8761[MMA2] </w:t>
      </w:r>
    </w:p>
    <w:p w14:paraId="75646B84" w14:textId="77777777" w:rsidR="00F20451" w:rsidRPr="00CD5F87" w:rsidRDefault="00F20451" w:rsidP="00CD5F87">
      <w:pPr>
        <w:spacing w:after="212" w:line="283" w:lineRule="auto"/>
        <w:ind w:left="10" w:hanging="10"/>
        <w:jc w:val="both"/>
        <w:rPr>
          <w:rFonts w:ascii="Calibri" w:eastAsia="Calibri" w:hAnsi="Calibri" w:cs="Calibri"/>
          <w:sz w:val="20"/>
        </w:rPr>
      </w:pPr>
      <w:r w:rsidRPr="00CD5F87">
        <w:rPr>
          <w:rFonts w:ascii="Calibri" w:eastAsia="Calibri" w:hAnsi="Calibri" w:cs="Calibri"/>
          <w:sz w:val="20"/>
        </w:rPr>
        <w:t>5.6.4. INSTITUTO DE MEDICINA FÍSICA E REABILITAÇÃO</w:t>
      </w:r>
    </w:p>
    <w:p w14:paraId="287D9061" w14:textId="77777777" w:rsidR="00F20451" w:rsidRPr="00CD5F87" w:rsidRDefault="00F20451" w:rsidP="00CD5F87">
      <w:pPr>
        <w:spacing w:after="212" w:line="283" w:lineRule="auto"/>
        <w:ind w:left="10" w:hanging="10"/>
        <w:jc w:val="both"/>
        <w:rPr>
          <w:rFonts w:ascii="Calibri" w:eastAsia="Calibri" w:hAnsi="Calibri" w:cs="Calibri"/>
          <w:sz w:val="20"/>
        </w:rPr>
      </w:pPr>
      <w:r w:rsidRPr="00CD5F87">
        <w:rPr>
          <w:rFonts w:ascii="Calibri" w:eastAsia="Calibri" w:hAnsi="Calibri" w:cs="Calibri"/>
          <w:sz w:val="20"/>
        </w:rPr>
        <w:t>5.6.4.1. IMREA - IMREA ADMIN MATE</w:t>
      </w:r>
    </w:p>
    <w:p w14:paraId="7418A297" w14:textId="77777777" w:rsidR="00F20451" w:rsidRPr="00CD5F87" w:rsidRDefault="00F20451" w:rsidP="00CD5F87">
      <w:pPr>
        <w:spacing w:after="212" w:line="283" w:lineRule="auto"/>
        <w:ind w:left="10" w:hanging="10"/>
        <w:jc w:val="both"/>
        <w:rPr>
          <w:rFonts w:ascii="Calibri" w:eastAsia="Calibri" w:hAnsi="Calibri" w:cs="Calibri"/>
          <w:sz w:val="20"/>
        </w:rPr>
      </w:pPr>
      <w:r w:rsidRPr="00CD5F87">
        <w:rPr>
          <w:rFonts w:ascii="Calibri" w:eastAsia="Calibri" w:hAnsi="Calibri" w:cs="Calibri"/>
          <w:sz w:val="20"/>
        </w:rPr>
        <w:t>Serviço Administrativo do IMREA</w:t>
      </w:r>
    </w:p>
    <w:p w14:paraId="70227463" w14:textId="77777777" w:rsidR="00F20451" w:rsidRPr="00CD5F87" w:rsidRDefault="00F20451" w:rsidP="00CD5F87">
      <w:pPr>
        <w:spacing w:after="212" w:line="283" w:lineRule="auto"/>
        <w:ind w:left="10" w:hanging="10"/>
        <w:jc w:val="both"/>
        <w:rPr>
          <w:rFonts w:ascii="Calibri" w:eastAsia="Calibri" w:hAnsi="Calibri" w:cs="Calibri"/>
          <w:sz w:val="20"/>
        </w:rPr>
      </w:pPr>
      <w:r w:rsidRPr="00CD5F87">
        <w:rPr>
          <w:rFonts w:ascii="Calibri" w:eastAsia="Calibri" w:hAnsi="Calibri" w:cs="Calibri"/>
          <w:sz w:val="20"/>
        </w:rPr>
        <w:t>Local: Rua Diderot, nº 43 - Vila Mariana (altura do nº 3833 – Rua Vergueiro) Fone: 5180-7815</w:t>
      </w:r>
    </w:p>
    <w:p w14:paraId="74D7EBC7" w14:textId="77777777" w:rsidR="00F20451" w:rsidRPr="00CD5F87" w:rsidRDefault="00F20451" w:rsidP="00CD5F87">
      <w:pPr>
        <w:spacing w:after="212" w:line="283" w:lineRule="auto"/>
        <w:ind w:left="10" w:hanging="10"/>
        <w:jc w:val="both"/>
        <w:rPr>
          <w:rFonts w:ascii="Calibri" w:eastAsia="Calibri" w:hAnsi="Calibri" w:cs="Calibri"/>
          <w:sz w:val="20"/>
        </w:rPr>
      </w:pPr>
      <w:r w:rsidRPr="00CD5F87">
        <w:rPr>
          <w:rFonts w:ascii="Calibri" w:eastAsia="Calibri" w:hAnsi="Calibri" w:cs="Calibri"/>
          <w:sz w:val="20"/>
        </w:rPr>
        <w:t xml:space="preserve"> </w:t>
      </w:r>
    </w:p>
    <w:p w14:paraId="1A7D2E33" w14:textId="77777777" w:rsidR="00F20451" w:rsidRPr="00CD5F87" w:rsidRDefault="00F20451" w:rsidP="00CD5F87">
      <w:pPr>
        <w:spacing w:after="212" w:line="283" w:lineRule="auto"/>
        <w:ind w:left="10" w:hanging="10"/>
        <w:jc w:val="both"/>
        <w:rPr>
          <w:rFonts w:ascii="Calibri" w:eastAsia="Calibri" w:hAnsi="Calibri" w:cs="Calibri"/>
          <w:sz w:val="20"/>
        </w:rPr>
      </w:pPr>
      <w:r w:rsidRPr="00CD5F87">
        <w:rPr>
          <w:rFonts w:ascii="Calibri" w:eastAsia="Calibri" w:hAnsi="Calibri" w:cs="Calibri"/>
          <w:sz w:val="20"/>
        </w:rPr>
        <w:t>5.6.5. INSTITUTO DO CORAÇÃO INC</w:t>
      </w:r>
    </w:p>
    <w:p w14:paraId="4F622C93" w14:textId="77777777" w:rsidR="00F20451" w:rsidRPr="00CD5F87" w:rsidRDefault="00F20451" w:rsidP="00CD5F87">
      <w:pPr>
        <w:spacing w:after="212" w:line="283" w:lineRule="auto"/>
        <w:ind w:left="10" w:hanging="10"/>
        <w:jc w:val="both"/>
        <w:rPr>
          <w:rFonts w:ascii="Calibri" w:eastAsia="Calibri" w:hAnsi="Calibri" w:cs="Calibri"/>
          <w:sz w:val="20"/>
        </w:rPr>
      </w:pPr>
      <w:r w:rsidRPr="00CD5F87">
        <w:rPr>
          <w:rFonts w:ascii="Calibri" w:eastAsia="Calibri" w:hAnsi="Calibri" w:cs="Calibri"/>
          <w:sz w:val="20"/>
        </w:rPr>
        <w:t>5.6.5.1. INCOR FARMÁCIA</w:t>
      </w:r>
    </w:p>
    <w:p w14:paraId="0454D946" w14:textId="77777777" w:rsidR="00F20451" w:rsidRPr="00CD5F87" w:rsidRDefault="00F20451" w:rsidP="00CD5F87">
      <w:pPr>
        <w:spacing w:after="212" w:line="283" w:lineRule="auto"/>
        <w:ind w:left="10" w:hanging="10"/>
        <w:jc w:val="both"/>
        <w:rPr>
          <w:rFonts w:ascii="Calibri" w:eastAsia="Calibri" w:hAnsi="Calibri" w:cs="Calibri"/>
          <w:sz w:val="20"/>
        </w:rPr>
      </w:pPr>
      <w:r w:rsidRPr="00CD5F87">
        <w:rPr>
          <w:rFonts w:ascii="Calibri" w:eastAsia="Calibri" w:hAnsi="Calibri" w:cs="Calibri"/>
          <w:sz w:val="20"/>
        </w:rPr>
        <w:t>Serviço de Farmácia do INCOR</w:t>
      </w:r>
    </w:p>
    <w:p w14:paraId="46200C0D" w14:textId="77777777" w:rsidR="00F20451" w:rsidRPr="00CD5F87" w:rsidRDefault="00F20451" w:rsidP="00CD5F87">
      <w:pPr>
        <w:spacing w:after="212" w:line="283" w:lineRule="auto"/>
        <w:ind w:left="10" w:hanging="10"/>
        <w:jc w:val="both"/>
        <w:rPr>
          <w:rFonts w:ascii="Calibri" w:eastAsia="Calibri" w:hAnsi="Calibri" w:cs="Calibri"/>
          <w:sz w:val="20"/>
        </w:rPr>
      </w:pPr>
      <w:r w:rsidRPr="00CD5F87">
        <w:rPr>
          <w:rFonts w:ascii="Calibri" w:eastAsia="Calibri" w:hAnsi="Calibri" w:cs="Calibri"/>
          <w:sz w:val="20"/>
        </w:rPr>
        <w:t>Local: Av. Dr. Enéas de Carvalho Aguiar, nº 44, térreo – Bloco II Fone: 2661-5431 / 5512 INC</w:t>
      </w:r>
    </w:p>
    <w:p w14:paraId="567B1C59" w14:textId="77777777" w:rsidR="00F20451" w:rsidRPr="00CD5F87" w:rsidRDefault="00F20451" w:rsidP="00CD5F87">
      <w:pPr>
        <w:spacing w:after="212" w:line="283" w:lineRule="auto"/>
        <w:ind w:left="10" w:hanging="10"/>
        <w:jc w:val="both"/>
        <w:rPr>
          <w:rFonts w:ascii="Calibri" w:eastAsia="Calibri" w:hAnsi="Calibri" w:cs="Calibri"/>
          <w:sz w:val="20"/>
        </w:rPr>
      </w:pPr>
      <w:r w:rsidRPr="00CD5F87">
        <w:rPr>
          <w:rFonts w:ascii="Calibri" w:eastAsia="Calibri" w:hAnsi="Calibri" w:cs="Calibri"/>
          <w:sz w:val="20"/>
        </w:rPr>
        <w:t>5.6.5.2. INCOR MATERIAL</w:t>
      </w:r>
    </w:p>
    <w:p w14:paraId="4BFB6310" w14:textId="77777777" w:rsidR="00F20451" w:rsidRPr="00CD5F87" w:rsidRDefault="00F20451" w:rsidP="00CD5F87">
      <w:pPr>
        <w:spacing w:after="212" w:line="283" w:lineRule="auto"/>
        <w:ind w:left="10" w:hanging="10"/>
        <w:jc w:val="both"/>
        <w:rPr>
          <w:rFonts w:ascii="Calibri" w:eastAsia="Calibri" w:hAnsi="Calibri" w:cs="Calibri"/>
          <w:sz w:val="20"/>
        </w:rPr>
      </w:pPr>
      <w:r w:rsidRPr="00CD5F87">
        <w:rPr>
          <w:rFonts w:ascii="Calibri" w:eastAsia="Calibri" w:hAnsi="Calibri" w:cs="Calibri"/>
          <w:sz w:val="20"/>
        </w:rPr>
        <w:t>Almoxarifado do InCor</w:t>
      </w:r>
    </w:p>
    <w:p w14:paraId="061449C3" w14:textId="77777777" w:rsidR="00F20451" w:rsidRPr="00CD5F87" w:rsidRDefault="00F20451" w:rsidP="00CD5F87">
      <w:pPr>
        <w:spacing w:after="212" w:line="283" w:lineRule="auto"/>
        <w:ind w:left="10" w:hanging="10"/>
        <w:jc w:val="both"/>
        <w:rPr>
          <w:rFonts w:ascii="Calibri" w:eastAsia="Calibri" w:hAnsi="Calibri" w:cs="Calibri"/>
          <w:sz w:val="20"/>
        </w:rPr>
      </w:pPr>
      <w:r w:rsidRPr="00CD5F87">
        <w:rPr>
          <w:rFonts w:ascii="Calibri" w:eastAsia="Calibri" w:hAnsi="Calibri" w:cs="Calibri"/>
          <w:sz w:val="20"/>
        </w:rPr>
        <w:t>Local: Av. Dr. Enéas de Carvalho Aguiar, nº 44, térreo do Bloco II Fone: 2661-5253</w:t>
      </w:r>
    </w:p>
    <w:p w14:paraId="535E755C" w14:textId="77777777" w:rsidR="00F20451" w:rsidRPr="00CD5F87" w:rsidRDefault="00F20451" w:rsidP="00CD5F87">
      <w:pPr>
        <w:spacing w:after="212" w:line="283" w:lineRule="auto"/>
        <w:ind w:left="10" w:hanging="10"/>
        <w:jc w:val="both"/>
        <w:rPr>
          <w:rFonts w:ascii="Calibri" w:eastAsia="Calibri" w:hAnsi="Calibri" w:cs="Calibri"/>
          <w:sz w:val="20"/>
        </w:rPr>
      </w:pPr>
      <w:r w:rsidRPr="00CD5F87">
        <w:rPr>
          <w:rFonts w:ascii="Calibri" w:eastAsia="Calibri" w:hAnsi="Calibri" w:cs="Calibri"/>
          <w:sz w:val="20"/>
        </w:rPr>
        <w:t xml:space="preserve"> </w:t>
      </w:r>
    </w:p>
    <w:p w14:paraId="69C93B1D" w14:textId="77777777" w:rsidR="00F20451" w:rsidRPr="00CD5F87" w:rsidRDefault="00F20451" w:rsidP="00CD5F87">
      <w:pPr>
        <w:spacing w:after="212" w:line="283" w:lineRule="auto"/>
        <w:ind w:left="10" w:hanging="10"/>
        <w:jc w:val="both"/>
        <w:rPr>
          <w:rFonts w:ascii="Calibri" w:eastAsia="Calibri" w:hAnsi="Calibri" w:cs="Calibri"/>
          <w:sz w:val="20"/>
        </w:rPr>
      </w:pPr>
      <w:r w:rsidRPr="00CD5F87">
        <w:rPr>
          <w:rFonts w:ascii="Calibri" w:eastAsia="Calibri" w:hAnsi="Calibri" w:cs="Calibri"/>
          <w:sz w:val="20"/>
        </w:rPr>
        <w:t>5.6.6. INSTITUTO DE RADIOLOGIA INR - INRAD MATERIAL</w:t>
      </w:r>
    </w:p>
    <w:p w14:paraId="67EDA891" w14:textId="77777777" w:rsidR="00F20451" w:rsidRPr="00CD5F87" w:rsidRDefault="00F20451" w:rsidP="00CD5F87">
      <w:pPr>
        <w:spacing w:after="212" w:line="283" w:lineRule="auto"/>
        <w:ind w:left="10" w:hanging="10"/>
        <w:jc w:val="both"/>
        <w:rPr>
          <w:rFonts w:ascii="Calibri" w:eastAsia="Calibri" w:hAnsi="Calibri" w:cs="Calibri"/>
          <w:sz w:val="20"/>
        </w:rPr>
      </w:pPr>
      <w:r w:rsidRPr="00CD5F87">
        <w:rPr>
          <w:rFonts w:ascii="Calibri" w:eastAsia="Calibri" w:hAnsi="Calibri" w:cs="Calibri"/>
          <w:sz w:val="20"/>
        </w:rPr>
        <w:t>Almoxarifado InRad</w:t>
      </w:r>
    </w:p>
    <w:p w14:paraId="2368A522" w14:textId="77777777" w:rsidR="00F20451" w:rsidRPr="00CD5F87" w:rsidRDefault="00F20451" w:rsidP="00CD5F87">
      <w:pPr>
        <w:spacing w:after="212" w:line="283" w:lineRule="auto"/>
        <w:ind w:left="10" w:hanging="10"/>
        <w:jc w:val="both"/>
        <w:rPr>
          <w:rFonts w:ascii="Calibri" w:eastAsia="Calibri" w:hAnsi="Calibri" w:cs="Calibri"/>
          <w:sz w:val="20"/>
        </w:rPr>
      </w:pPr>
      <w:r w:rsidRPr="00CD5F87">
        <w:rPr>
          <w:rFonts w:ascii="Calibri" w:eastAsia="Calibri" w:hAnsi="Calibri" w:cs="Calibri"/>
          <w:sz w:val="20"/>
        </w:rPr>
        <w:t>Local: Av. Dr. Enéas de Carvalho Aguiar, nº 255 – sala 3136 Fone: 2661-6703</w:t>
      </w:r>
    </w:p>
    <w:p w14:paraId="0093D6C2" w14:textId="77777777" w:rsidR="00F20451" w:rsidRPr="00CD5F87" w:rsidRDefault="00F20451" w:rsidP="00CD5F87">
      <w:pPr>
        <w:spacing w:after="212" w:line="283" w:lineRule="auto"/>
        <w:ind w:left="10" w:hanging="10"/>
        <w:jc w:val="both"/>
        <w:rPr>
          <w:rFonts w:ascii="Calibri" w:eastAsia="Calibri" w:hAnsi="Calibri" w:cs="Calibri"/>
          <w:sz w:val="20"/>
        </w:rPr>
      </w:pPr>
      <w:r w:rsidRPr="00CD5F87">
        <w:rPr>
          <w:rFonts w:ascii="Calibri" w:eastAsia="Calibri" w:hAnsi="Calibri" w:cs="Calibri"/>
          <w:sz w:val="20"/>
        </w:rPr>
        <w:t xml:space="preserve"> </w:t>
      </w:r>
    </w:p>
    <w:p w14:paraId="42A275F1" w14:textId="77777777" w:rsidR="00F20451" w:rsidRPr="00CD5F87" w:rsidRDefault="00F20451" w:rsidP="00CD5F87">
      <w:pPr>
        <w:spacing w:after="212" w:line="283" w:lineRule="auto"/>
        <w:ind w:left="10" w:hanging="10"/>
        <w:jc w:val="both"/>
        <w:rPr>
          <w:rFonts w:ascii="Calibri" w:eastAsia="Calibri" w:hAnsi="Calibri" w:cs="Calibri"/>
          <w:sz w:val="20"/>
        </w:rPr>
      </w:pPr>
      <w:r w:rsidRPr="00CD5F87">
        <w:rPr>
          <w:rFonts w:ascii="Calibri" w:eastAsia="Calibri" w:hAnsi="Calibri" w:cs="Calibri"/>
          <w:sz w:val="20"/>
        </w:rPr>
        <w:t>5.6.7. INSTITUTO DE ORTOPEDIA E TRAUMATOLOGIA IOT - IOT MATERIAIS</w:t>
      </w:r>
    </w:p>
    <w:p w14:paraId="6D93717F" w14:textId="77777777" w:rsidR="00F20451" w:rsidRPr="00CD5F87" w:rsidRDefault="00F20451" w:rsidP="00CD5F87">
      <w:pPr>
        <w:spacing w:after="212" w:line="283" w:lineRule="auto"/>
        <w:ind w:left="10" w:hanging="10"/>
        <w:jc w:val="both"/>
        <w:rPr>
          <w:rFonts w:ascii="Calibri" w:eastAsia="Calibri" w:hAnsi="Calibri" w:cs="Calibri"/>
          <w:sz w:val="20"/>
        </w:rPr>
      </w:pPr>
      <w:r w:rsidRPr="00CD5F87">
        <w:rPr>
          <w:rFonts w:ascii="Calibri" w:eastAsia="Calibri" w:hAnsi="Calibri" w:cs="Calibri"/>
          <w:sz w:val="20"/>
        </w:rPr>
        <w:lastRenderedPageBreak/>
        <w:t>Setor de Material do IOT</w:t>
      </w:r>
    </w:p>
    <w:p w14:paraId="4C75FD5D" w14:textId="77777777" w:rsidR="00F20451" w:rsidRPr="00CD5F87" w:rsidRDefault="00F20451" w:rsidP="00CD5F87">
      <w:pPr>
        <w:spacing w:after="212" w:line="283" w:lineRule="auto"/>
        <w:ind w:left="10" w:hanging="10"/>
        <w:jc w:val="both"/>
        <w:rPr>
          <w:rFonts w:ascii="Calibri" w:eastAsia="Calibri" w:hAnsi="Calibri" w:cs="Calibri"/>
          <w:sz w:val="20"/>
        </w:rPr>
      </w:pPr>
      <w:r w:rsidRPr="00CD5F87">
        <w:rPr>
          <w:rFonts w:ascii="Calibri" w:eastAsia="Calibri" w:hAnsi="Calibri" w:cs="Calibri"/>
          <w:sz w:val="20"/>
        </w:rPr>
        <w:t>Local: Rua Ovídio Pires de Campos, nº 333, Subsolo IOT Fone: 2661-6313</w:t>
      </w:r>
    </w:p>
    <w:p w14:paraId="6585A5BC" w14:textId="77777777" w:rsidR="00F20451" w:rsidRPr="00CD5F87" w:rsidRDefault="00F20451" w:rsidP="00CD5F87">
      <w:pPr>
        <w:spacing w:after="212" w:line="283" w:lineRule="auto"/>
        <w:ind w:left="10" w:hanging="10"/>
        <w:jc w:val="both"/>
        <w:rPr>
          <w:rFonts w:ascii="Calibri" w:eastAsia="Calibri" w:hAnsi="Calibri" w:cs="Calibri"/>
          <w:sz w:val="20"/>
        </w:rPr>
      </w:pPr>
      <w:r w:rsidRPr="00CD5F87">
        <w:rPr>
          <w:rFonts w:ascii="Calibri" w:eastAsia="Calibri" w:hAnsi="Calibri" w:cs="Calibri"/>
          <w:sz w:val="20"/>
        </w:rPr>
        <w:t xml:space="preserve"> </w:t>
      </w:r>
    </w:p>
    <w:p w14:paraId="53340C0A" w14:textId="77777777" w:rsidR="00F20451" w:rsidRPr="00CD5F87" w:rsidRDefault="00F20451" w:rsidP="00CD5F87">
      <w:pPr>
        <w:spacing w:after="212" w:line="283" w:lineRule="auto"/>
        <w:ind w:left="10" w:hanging="10"/>
        <w:jc w:val="both"/>
        <w:rPr>
          <w:rFonts w:ascii="Calibri" w:eastAsia="Calibri" w:hAnsi="Calibri" w:cs="Calibri"/>
          <w:sz w:val="20"/>
        </w:rPr>
      </w:pPr>
      <w:r w:rsidRPr="00CD5F87">
        <w:rPr>
          <w:rFonts w:ascii="Calibri" w:eastAsia="Calibri" w:hAnsi="Calibri" w:cs="Calibri"/>
          <w:sz w:val="20"/>
        </w:rPr>
        <w:t>5.6.8. INSTITUTO DE PSIQUIATRIA - IPQ MATERIAIS / MEDICAMENTOS</w:t>
      </w:r>
    </w:p>
    <w:p w14:paraId="0EBEC74F" w14:textId="77777777" w:rsidR="00F20451" w:rsidRPr="00CD5F87" w:rsidRDefault="00F20451" w:rsidP="00CD5F87">
      <w:pPr>
        <w:spacing w:after="212" w:line="283" w:lineRule="auto"/>
        <w:ind w:left="10" w:hanging="10"/>
        <w:jc w:val="both"/>
        <w:rPr>
          <w:rFonts w:ascii="Calibri" w:eastAsia="Calibri" w:hAnsi="Calibri" w:cs="Calibri"/>
          <w:sz w:val="20"/>
        </w:rPr>
      </w:pPr>
      <w:r w:rsidRPr="00CD5F87">
        <w:rPr>
          <w:rFonts w:ascii="Calibri" w:eastAsia="Calibri" w:hAnsi="Calibri" w:cs="Calibri"/>
          <w:sz w:val="20"/>
        </w:rPr>
        <w:t>Setor de Almoxarifado do Instituto de Psiquiatria</w:t>
      </w:r>
    </w:p>
    <w:p w14:paraId="47F0D5D9" w14:textId="77777777" w:rsidR="00F20451" w:rsidRPr="00CD5F87" w:rsidRDefault="00F20451" w:rsidP="00CD5F87">
      <w:pPr>
        <w:spacing w:after="212" w:line="283" w:lineRule="auto"/>
        <w:ind w:left="10" w:hanging="10"/>
        <w:jc w:val="both"/>
        <w:rPr>
          <w:rFonts w:ascii="Calibri" w:eastAsia="Calibri" w:hAnsi="Calibri" w:cs="Calibri"/>
          <w:sz w:val="20"/>
        </w:rPr>
      </w:pPr>
      <w:r w:rsidRPr="00CD5F87">
        <w:rPr>
          <w:rFonts w:ascii="Calibri" w:eastAsia="Calibri" w:hAnsi="Calibri" w:cs="Calibri"/>
          <w:sz w:val="20"/>
        </w:rPr>
        <w:t>Local: Rua Ovídio Pires de Campos, 785</w:t>
      </w:r>
    </w:p>
    <w:p w14:paraId="7D48CFDA" w14:textId="77777777" w:rsidR="00F20451" w:rsidRPr="00CD5F87" w:rsidRDefault="00F20451" w:rsidP="00CD5F87">
      <w:pPr>
        <w:spacing w:after="212" w:line="283" w:lineRule="auto"/>
        <w:ind w:left="10" w:hanging="10"/>
        <w:jc w:val="both"/>
        <w:rPr>
          <w:rFonts w:ascii="Calibri" w:eastAsia="Calibri" w:hAnsi="Calibri" w:cs="Calibri"/>
          <w:sz w:val="20"/>
        </w:rPr>
      </w:pPr>
      <w:r w:rsidRPr="00CD5F87">
        <w:rPr>
          <w:rFonts w:ascii="Calibri" w:eastAsia="Calibri" w:hAnsi="Calibri" w:cs="Calibri"/>
          <w:sz w:val="20"/>
        </w:rPr>
        <w:t>Fone: 2661-6324</w:t>
      </w:r>
    </w:p>
    <w:p w14:paraId="6D5ADF38" w14:textId="77777777" w:rsidR="00F20451" w:rsidRPr="00CD5F87" w:rsidRDefault="00F20451" w:rsidP="00CD5F87">
      <w:pPr>
        <w:spacing w:after="212" w:line="283" w:lineRule="auto"/>
        <w:ind w:left="10" w:hanging="10"/>
        <w:jc w:val="both"/>
        <w:rPr>
          <w:rFonts w:ascii="Calibri" w:eastAsia="Calibri" w:hAnsi="Calibri" w:cs="Calibri"/>
          <w:sz w:val="20"/>
        </w:rPr>
      </w:pPr>
      <w:r w:rsidRPr="00CD5F87">
        <w:rPr>
          <w:rFonts w:ascii="Calibri" w:eastAsia="Calibri" w:hAnsi="Calibri" w:cs="Calibri"/>
          <w:sz w:val="20"/>
        </w:rPr>
        <w:t xml:space="preserve"> </w:t>
      </w:r>
    </w:p>
    <w:p w14:paraId="52325F74" w14:textId="77777777" w:rsidR="00F20451" w:rsidRPr="00CD5F87" w:rsidRDefault="00F20451" w:rsidP="00CD5F87">
      <w:pPr>
        <w:spacing w:after="212" w:line="283" w:lineRule="auto"/>
        <w:ind w:left="10" w:hanging="10"/>
        <w:jc w:val="both"/>
        <w:rPr>
          <w:rFonts w:ascii="Calibri" w:eastAsia="Calibri" w:hAnsi="Calibri" w:cs="Calibri"/>
          <w:sz w:val="20"/>
        </w:rPr>
      </w:pPr>
      <w:r w:rsidRPr="00CD5F87">
        <w:rPr>
          <w:rFonts w:ascii="Calibri" w:eastAsia="Calibri" w:hAnsi="Calibri" w:cs="Calibri"/>
          <w:sz w:val="20"/>
        </w:rPr>
        <w:t>5.6.9. LABORATÓRIOS DE INVESTIGAÇÃO MÉDICA LIM – LIM MATERIAIS</w:t>
      </w:r>
    </w:p>
    <w:p w14:paraId="7184C592" w14:textId="77777777" w:rsidR="00F20451" w:rsidRPr="00CD5F87" w:rsidRDefault="00F20451" w:rsidP="00CD5F87">
      <w:pPr>
        <w:spacing w:after="212" w:line="283" w:lineRule="auto"/>
        <w:ind w:left="10" w:hanging="10"/>
        <w:jc w:val="both"/>
        <w:rPr>
          <w:rFonts w:ascii="Calibri" w:eastAsia="Calibri" w:hAnsi="Calibri" w:cs="Calibri"/>
          <w:sz w:val="20"/>
        </w:rPr>
      </w:pPr>
      <w:r w:rsidRPr="00CD5F87">
        <w:rPr>
          <w:rFonts w:ascii="Calibri" w:eastAsia="Calibri" w:hAnsi="Calibri" w:cs="Calibri"/>
          <w:sz w:val="20"/>
        </w:rPr>
        <w:t>Setor de Material do LIM</w:t>
      </w:r>
    </w:p>
    <w:p w14:paraId="0D9C697A" w14:textId="77777777" w:rsidR="00F20451" w:rsidRPr="00CD5F87" w:rsidRDefault="00F20451" w:rsidP="00CD5F87">
      <w:pPr>
        <w:spacing w:after="212" w:line="283" w:lineRule="auto"/>
        <w:ind w:left="10" w:hanging="10"/>
        <w:jc w:val="both"/>
        <w:rPr>
          <w:rFonts w:ascii="Calibri" w:eastAsia="Calibri" w:hAnsi="Calibri" w:cs="Calibri"/>
          <w:sz w:val="20"/>
        </w:rPr>
      </w:pPr>
      <w:r w:rsidRPr="00CD5F87">
        <w:rPr>
          <w:rFonts w:ascii="Calibri" w:eastAsia="Calibri" w:hAnsi="Calibri" w:cs="Calibri"/>
          <w:sz w:val="20"/>
        </w:rPr>
        <w:t>Local: Av. Dr. Enéas de Carvalho Aguiar, s/n, (ao lado do SVO/Banco Santander) - Faculdade de Medicina Almoxarifado dos LIMs (antigo prédio da manutenção) Fone: 3066-7329/7271</w:t>
      </w:r>
    </w:p>
    <w:p w14:paraId="4487357A" w14:textId="77777777" w:rsidR="00F20451" w:rsidRPr="00CD5F87" w:rsidRDefault="00F20451" w:rsidP="00CD5F87">
      <w:pPr>
        <w:spacing w:after="212" w:line="283" w:lineRule="auto"/>
        <w:ind w:left="10" w:hanging="10"/>
        <w:jc w:val="both"/>
        <w:rPr>
          <w:rFonts w:ascii="Calibri" w:eastAsia="Calibri" w:hAnsi="Calibri" w:cs="Calibri"/>
          <w:sz w:val="20"/>
        </w:rPr>
      </w:pPr>
      <w:r w:rsidRPr="00CD5F87">
        <w:rPr>
          <w:rFonts w:ascii="Calibri" w:eastAsia="Calibri" w:hAnsi="Calibri" w:cs="Calibri"/>
          <w:sz w:val="20"/>
        </w:rPr>
        <w:t xml:space="preserve"> </w:t>
      </w:r>
    </w:p>
    <w:p w14:paraId="121B6017" w14:textId="77777777" w:rsidR="00F20451" w:rsidRPr="00CD5F87" w:rsidRDefault="00F20451" w:rsidP="00CD5F87">
      <w:pPr>
        <w:spacing w:after="212" w:line="283" w:lineRule="auto"/>
        <w:ind w:left="10" w:hanging="10"/>
        <w:jc w:val="both"/>
        <w:rPr>
          <w:rFonts w:ascii="Calibri" w:eastAsia="Calibri" w:hAnsi="Calibri" w:cs="Calibri"/>
          <w:sz w:val="20"/>
        </w:rPr>
      </w:pPr>
      <w:r w:rsidRPr="00CD5F87">
        <w:rPr>
          <w:rFonts w:ascii="Calibri" w:eastAsia="Calibri" w:hAnsi="Calibri" w:cs="Calibri"/>
          <w:sz w:val="20"/>
        </w:rPr>
        <w:t xml:space="preserve">5.6.10. INSTITUTO DE GESTÃO DE SAÚDE  (PRÉDIO DA ADMINISTRAÇÃO) </w:t>
      </w:r>
    </w:p>
    <w:p w14:paraId="3F4212DE" w14:textId="77777777" w:rsidR="00F20451" w:rsidRPr="00CD5F87" w:rsidRDefault="00F20451" w:rsidP="00CD5F87">
      <w:pPr>
        <w:spacing w:after="212" w:line="283" w:lineRule="auto"/>
        <w:ind w:left="10" w:hanging="10"/>
        <w:jc w:val="both"/>
        <w:rPr>
          <w:rFonts w:ascii="Calibri" w:eastAsia="Calibri" w:hAnsi="Calibri" w:cs="Calibri"/>
          <w:sz w:val="20"/>
        </w:rPr>
      </w:pPr>
      <w:r w:rsidRPr="00CD5F87">
        <w:rPr>
          <w:rFonts w:ascii="Calibri" w:eastAsia="Calibri" w:hAnsi="Calibri" w:cs="Calibri"/>
          <w:sz w:val="20"/>
        </w:rPr>
        <w:t>Almoxarifado Central</w:t>
      </w:r>
    </w:p>
    <w:p w14:paraId="64DAB78C" w14:textId="77777777" w:rsidR="00F20451" w:rsidRPr="00CD5F87" w:rsidRDefault="00F20451" w:rsidP="00CD5F87">
      <w:pPr>
        <w:spacing w:after="212" w:line="283" w:lineRule="auto"/>
        <w:ind w:left="10" w:hanging="10"/>
        <w:jc w:val="both"/>
        <w:rPr>
          <w:rFonts w:ascii="Calibri" w:eastAsia="Calibri" w:hAnsi="Calibri" w:cs="Calibri"/>
          <w:sz w:val="20"/>
        </w:rPr>
      </w:pPr>
      <w:r w:rsidRPr="00CD5F87">
        <w:rPr>
          <w:rFonts w:ascii="Calibri" w:eastAsia="Calibri" w:hAnsi="Calibri" w:cs="Calibri"/>
          <w:sz w:val="20"/>
        </w:rPr>
        <w:t>Local: Rua Ovídio Pires de Campos, nº 225, 1º andar Fone: 2661-7008 / 2661-6652</w:t>
      </w:r>
    </w:p>
    <w:p w14:paraId="35C05B17" w14:textId="77777777" w:rsidR="00F20451" w:rsidRPr="00CD5F87" w:rsidRDefault="00F20451" w:rsidP="00CD5F87">
      <w:pPr>
        <w:spacing w:after="212" w:line="283" w:lineRule="auto"/>
        <w:ind w:left="10" w:hanging="10"/>
        <w:jc w:val="both"/>
        <w:rPr>
          <w:rFonts w:ascii="Calibri" w:eastAsia="Calibri" w:hAnsi="Calibri" w:cs="Calibri"/>
          <w:sz w:val="20"/>
        </w:rPr>
      </w:pPr>
      <w:r w:rsidRPr="00CD5F87">
        <w:rPr>
          <w:rFonts w:ascii="Calibri" w:eastAsia="Calibri" w:hAnsi="Calibri" w:cs="Calibri"/>
          <w:sz w:val="20"/>
        </w:rPr>
        <w:t xml:space="preserve"> </w:t>
      </w:r>
    </w:p>
    <w:p w14:paraId="2F73440B" w14:textId="77777777" w:rsidR="00F20451" w:rsidRPr="00CD5F87" w:rsidRDefault="00F20451" w:rsidP="00CD5F87">
      <w:pPr>
        <w:spacing w:after="212" w:line="283" w:lineRule="auto"/>
        <w:ind w:left="10" w:hanging="10"/>
        <w:jc w:val="both"/>
        <w:rPr>
          <w:rFonts w:ascii="Calibri" w:eastAsia="Calibri" w:hAnsi="Calibri" w:cs="Calibri"/>
          <w:sz w:val="20"/>
        </w:rPr>
      </w:pPr>
      <w:r w:rsidRPr="00CD5F87">
        <w:rPr>
          <w:rFonts w:ascii="Calibri" w:eastAsia="Calibri" w:hAnsi="Calibri" w:cs="Calibri"/>
          <w:sz w:val="20"/>
        </w:rPr>
        <w:t>5.6.11. INSTITUTO DO CÂNCER DO ESTA DO SÃO PAULO - ICESP</w:t>
      </w:r>
    </w:p>
    <w:p w14:paraId="740626CB" w14:textId="77777777" w:rsidR="00F20451" w:rsidRPr="00CD5F87" w:rsidRDefault="00F20451" w:rsidP="00CD5F87">
      <w:pPr>
        <w:spacing w:after="212" w:line="283" w:lineRule="auto"/>
        <w:ind w:left="10" w:hanging="10"/>
        <w:jc w:val="both"/>
        <w:rPr>
          <w:rFonts w:ascii="Calibri" w:eastAsia="Calibri" w:hAnsi="Calibri" w:cs="Calibri"/>
          <w:sz w:val="20"/>
        </w:rPr>
      </w:pPr>
      <w:r w:rsidRPr="00CD5F87">
        <w:rPr>
          <w:rFonts w:ascii="Calibri" w:eastAsia="Calibri" w:hAnsi="Calibri" w:cs="Calibri"/>
          <w:sz w:val="20"/>
        </w:rPr>
        <w:t>Doca de recebimento</w:t>
      </w:r>
    </w:p>
    <w:p w14:paraId="2B0B40EB" w14:textId="77777777" w:rsidR="00F20451" w:rsidRPr="00CD5F87" w:rsidRDefault="00F20451" w:rsidP="00CD5F87">
      <w:pPr>
        <w:spacing w:after="212" w:line="283" w:lineRule="auto"/>
        <w:ind w:left="10" w:hanging="10"/>
        <w:jc w:val="both"/>
        <w:rPr>
          <w:rFonts w:ascii="Calibri" w:eastAsia="Calibri" w:hAnsi="Calibri" w:cs="Calibri"/>
          <w:sz w:val="20"/>
        </w:rPr>
      </w:pPr>
      <w:r w:rsidRPr="00CD5F87">
        <w:rPr>
          <w:rFonts w:ascii="Calibri" w:eastAsia="Calibri" w:hAnsi="Calibri" w:cs="Calibri"/>
          <w:sz w:val="20"/>
        </w:rPr>
        <w:t>Local: Av. Dr. Arnaldo, nº 251, 2º subsolo – Cerqueira Cesar CEP 01246-000 São Paulo – SP Fone: 3893-4786/ 3893-2000</w:t>
      </w:r>
    </w:p>
    <w:p w14:paraId="69C644EB" w14:textId="77777777" w:rsidR="00F20451" w:rsidRPr="00CD5F87" w:rsidRDefault="00F20451" w:rsidP="00CD5F87">
      <w:pPr>
        <w:spacing w:after="212" w:line="283" w:lineRule="auto"/>
        <w:ind w:left="10" w:hanging="10"/>
        <w:jc w:val="both"/>
        <w:rPr>
          <w:rFonts w:ascii="Calibri" w:eastAsia="Calibri" w:hAnsi="Calibri" w:cs="Calibri"/>
          <w:sz w:val="20"/>
        </w:rPr>
      </w:pPr>
      <w:r w:rsidRPr="00CD5F87">
        <w:rPr>
          <w:rFonts w:ascii="Calibri" w:eastAsia="Calibri" w:hAnsi="Calibri" w:cs="Calibri"/>
          <w:sz w:val="20"/>
        </w:rPr>
        <w:t xml:space="preserve"> </w:t>
      </w:r>
    </w:p>
    <w:p w14:paraId="764EEB7F" w14:textId="77777777" w:rsidR="00F20451" w:rsidRPr="00CD5F87" w:rsidRDefault="00F20451" w:rsidP="00CD5F87">
      <w:pPr>
        <w:spacing w:after="212" w:line="283" w:lineRule="auto"/>
        <w:ind w:left="10" w:hanging="10"/>
        <w:jc w:val="both"/>
        <w:rPr>
          <w:rFonts w:ascii="Calibri" w:eastAsia="Calibri" w:hAnsi="Calibri" w:cs="Calibri"/>
          <w:sz w:val="20"/>
        </w:rPr>
      </w:pPr>
      <w:r w:rsidRPr="00CD5F87">
        <w:rPr>
          <w:rFonts w:ascii="Calibri" w:eastAsia="Calibri" w:hAnsi="Calibri" w:cs="Calibri"/>
          <w:sz w:val="20"/>
        </w:rPr>
        <w:t>5.6.12. INSTITUTO PERDIZES - IPER</w:t>
      </w:r>
    </w:p>
    <w:p w14:paraId="4CAD5834" w14:textId="77777777" w:rsidR="00F20451" w:rsidRPr="00CD5F87" w:rsidRDefault="00F20451" w:rsidP="00CD5F87">
      <w:pPr>
        <w:spacing w:after="212" w:line="283" w:lineRule="auto"/>
        <w:ind w:left="10" w:hanging="10"/>
        <w:jc w:val="both"/>
        <w:rPr>
          <w:rFonts w:ascii="Calibri" w:eastAsia="Calibri" w:hAnsi="Calibri" w:cs="Calibri"/>
          <w:sz w:val="20"/>
        </w:rPr>
      </w:pPr>
      <w:r w:rsidRPr="00CD5F87">
        <w:rPr>
          <w:rFonts w:ascii="Calibri" w:eastAsia="Calibri" w:hAnsi="Calibri" w:cs="Calibri"/>
          <w:sz w:val="20"/>
        </w:rPr>
        <w:t>Local: R. Cotoxó, nº 1142, 1º andar Fone: (11) 2661-3409 ramal 3411</w:t>
      </w:r>
    </w:p>
    <w:p w14:paraId="311DA07A" w14:textId="77777777" w:rsidR="00F20451" w:rsidRPr="00CD5F87" w:rsidRDefault="00F20451" w:rsidP="00CD5F87">
      <w:pPr>
        <w:spacing w:after="212" w:line="283" w:lineRule="auto"/>
        <w:ind w:left="10" w:hanging="10"/>
        <w:jc w:val="both"/>
        <w:rPr>
          <w:rFonts w:ascii="Calibri" w:eastAsia="Calibri" w:hAnsi="Calibri" w:cs="Calibri"/>
          <w:sz w:val="20"/>
        </w:rPr>
      </w:pPr>
      <w:r w:rsidRPr="00CD5F87">
        <w:rPr>
          <w:rFonts w:ascii="Calibri" w:eastAsia="Calibri" w:hAnsi="Calibri" w:cs="Calibri"/>
          <w:sz w:val="20"/>
        </w:rPr>
        <w:t xml:space="preserve"> </w:t>
      </w:r>
    </w:p>
    <w:p w14:paraId="58A23D23" w14:textId="77777777" w:rsidR="00F20451" w:rsidRPr="00CD5F87" w:rsidRDefault="00F20451" w:rsidP="00CD5F87">
      <w:pPr>
        <w:spacing w:after="212" w:line="283" w:lineRule="auto"/>
        <w:ind w:left="10" w:hanging="10"/>
        <w:jc w:val="both"/>
        <w:rPr>
          <w:rFonts w:ascii="Calibri" w:eastAsia="Calibri" w:hAnsi="Calibri" w:cs="Calibri"/>
          <w:b/>
          <w:sz w:val="20"/>
        </w:rPr>
      </w:pPr>
      <w:r w:rsidRPr="00CD5F87">
        <w:rPr>
          <w:rFonts w:ascii="Calibri" w:eastAsia="Calibri" w:hAnsi="Calibri" w:cs="Calibri"/>
          <w:b/>
          <w:sz w:val="20"/>
        </w:rPr>
        <w:t>6. MODELO DE GESTÃO DO CONTRATO</w:t>
      </w:r>
    </w:p>
    <w:p w14:paraId="6310593B" w14:textId="77777777" w:rsidR="00F20451" w:rsidRPr="00CD5F87" w:rsidRDefault="00F20451" w:rsidP="00CD5F87">
      <w:pPr>
        <w:spacing w:after="212" w:line="283" w:lineRule="auto"/>
        <w:ind w:left="10" w:hanging="10"/>
        <w:jc w:val="both"/>
        <w:rPr>
          <w:rFonts w:ascii="Calibri" w:eastAsia="Calibri" w:hAnsi="Calibri" w:cs="Calibri"/>
          <w:sz w:val="20"/>
        </w:rPr>
      </w:pPr>
      <w:r w:rsidRPr="00CD5F87">
        <w:rPr>
          <w:rFonts w:ascii="Calibri" w:eastAsia="Calibri" w:hAnsi="Calibri" w:cs="Calibri"/>
          <w:sz w:val="20"/>
        </w:rPr>
        <w:t>6.1. O contrato deverá ser executado fielmente pelas partes, de acordo com as cláusulas avençadas e as normas da Lei nº 14.133, de 2021, e cada parte responderá pelas consequências de sua inexecução total ou parcial.</w:t>
      </w:r>
    </w:p>
    <w:p w14:paraId="053C0D65" w14:textId="77777777" w:rsidR="00F20451" w:rsidRPr="00CD5F87" w:rsidRDefault="00F20451" w:rsidP="00F20451">
      <w:pPr>
        <w:spacing w:after="212" w:line="283" w:lineRule="auto"/>
        <w:ind w:left="10" w:hanging="10"/>
        <w:jc w:val="both"/>
        <w:rPr>
          <w:rFonts w:ascii="Calibri" w:eastAsia="Calibri" w:hAnsi="Calibri" w:cs="Calibri"/>
          <w:sz w:val="20"/>
        </w:rPr>
      </w:pPr>
      <w:r w:rsidRPr="00CD5F87">
        <w:rPr>
          <w:rFonts w:ascii="Calibri" w:eastAsia="Calibri" w:hAnsi="Calibri" w:cs="Calibri"/>
          <w:sz w:val="20"/>
        </w:rPr>
        <w:t>6.2. Em caso de impedimento, ordem de paralisação ou suspensão do contrato, o cronograma de execução será prorrogado automaticamente pelo tempo correspondente, anotadas tais circunstâncias mediante simples apostila.</w:t>
      </w:r>
    </w:p>
    <w:p w14:paraId="6BDA90D0" w14:textId="77777777" w:rsidR="00F20451" w:rsidRPr="00CD5F87" w:rsidRDefault="00F20451" w:rsidP="00F20451">
      <w:pPr>
        <w:spacing w:after="212" w:line="283" w:lineRule="auto"/>
        <w:ind w:left="10" w:hanging="10"/>
        <w:jc w:val="both"/>
        <w:rPr>
          <w:rFonts w:ascii="Calibri" w:eastAsia="Calibri" w:hAnsi="Calibri" w:cs="Calibri"/>
          <w:sz w:val="20"/>
        </w:rPr>
      </w:pPr>
      <w:r w:rsidRPr="00CD5F87">
        <w:rPr>
          <w:rFonts w:ascii="Calibri" w:eastAsia="Calibri" w:hAnsi="Calibri" w:cs="Calibri"/>
          <w:sz w:val="20"/>
        </w:rPr>
        <w:t>6.3. As comunicações entre o órgão ou entidade e a contratada devem ser realizadas por escrito sempre que o ato exigir tal formalidade, admitindo-se o uso de mensagem eletrônica para esse fim.</w:t>
      </w:r>
    </w:p>
    <w:p w14:paraId="3AF27373" w14:textId="77777777" w:rsidR="00F20451" w:rsidRPr="00CD5F87" w:rsidRDefault="00F20451" w:rsidP="00F20451">
      <w:pPr>
        <w:spacing w:after="212" w:line="283" w:lineRule="auto"/>
        <w:ind w:left="10" w:hanging="10"/>
        <w:jc w:val="both"/>
        <w:rPr>
          <w:rFonts w:ascii="Calibri" w:eastAsia="Calibri" w:hAnsi="Calibri" w:cs="Calibri"/>
          <w:sz w:val="20"/>
        </w:rPr>
      </w:pPr>
      <w:r w:rsidRPr="00CD5F87">
        <w:rPr>
          <w:rFonts w:ascii="Calibri" w:eastAsia="Calibri" w:hAnsi="Calibri" w:cs="Calibri"/>
          <w:sz w:val="20"/>
        </w:rPr>
        <w:lastRenderedPageBreak/>
        <w:t>6.4. O Contratante poderá convocar representante da Contratado para adoção de providências que devam ser cumpridas de imediato.</w:t>
      </w:r>
    </w:p>
    <w:p w14:paraId="0243CE3C" w14:textId="77777777" w:rsidR="00F20451" w:rsidRPr="00CD5F87" w:rsidRDefault="00F20451" w:rsidP="00F20451">
      <w:pPr>
        <w:spacing w:after="210" w:line="267" w:lineRule="auto"/>
        <w:ind w:left="10" w:right="19" w:hanging="10"/>
        <w:jc w:val="both"/>
        <w:rPr>
          <w:rFonts w:ascii="Calibri" w:eastAsia="Calibri" w:hAnsi="Calibri" w:cs="Calibri"/>
          <w:sz w:val="20"/>
        </w:rPr>
      </w:pPr>
      <w:r>
        <w:rPr>
          <w:rFonts w:ascii="Calibri" w:eastAsia="Calibri" w:hAnsi="Calibri" w:cs="Calibri"/>
          <w:sz w:val="20"/>
        </w:rPr>
        <w:t>6.5. Após a celebração da contratação, o Contratante poderá convocar o representante do Contratado para reunião inicial para apresentação do plano de fiscalização, que conterá informações acerca das obrigações contratuais, dos mecanismos de fiscalização, das estratégias para execução do objeto, do plano complementar de execução do Contratado, quando houver, do método de aferição dos resultados e das sanções aplicáveis, dentre outros.</w:t>
      </w:r>
    </w:p>
    <w:p w14:paraId="7E4B83E6" w14:textId="77777777" w:rsidR="00F20451" w:rsidRDefault="00F20451" w:rsidP="00F20451">
      <w:pPr>
        <w:spacing w:after="173"/>
        <w:ind w:left="15"/>
      </w:pPr>
      <w:r>
        <w:rPr>
          <w:rFonts w:ascii="Calibri" w:eastAsia="Calibri" w:hAnsi="Calibri" w:cs="Calibri"/>
          <w:b/>
          <w:sz w:val="21"/>
        </w:rPr>
        <w:t xml:space="preserve"> </w:t>
      </w:r>
    </w:p>
    <w:p w14:paraId="320FFFED" w14:textId="77777777" w:rsidR="00F20451" w:rsidRPr="00CD5F87" w:rsidRDefault="00F20451" w:rsidP="00CD5F87">
      <w:pPr>
        <w:spacing w:after="212" w:line="283" w:lineRule="auto"/>
        <w:ind w:left="10" w:hanging="10"/>
        <w:jc w:val="both"/>
        <w:rPr>
          <w:rFonts w:ascii="Calibri" w:eastAsia="Calibri" w:hAnsi="Calibri" w:cs="Calibri"/>
          <w:b/>
          <w:sz w:val="20"/>
        </w:rPr>
      </w:pPr>
      <w:r w:rsidRPr="00CD5F87">
        <w:rPr>
          <w:rFonts w:ascii="Calibri" w:eastAsia="Calibri" w:hAnsi="Calibri" w:cs="Calibri"/>
          <w:b/>
          <w:sz w:val="20"/>
        </w:rPr>
        <w:t>FISCALIZAÇÃO</w:t>
      </w:r>
    </w:p>
    <w:p w14:paraId="2AD9EAC2" w14:textId="77777777" w:rsidR="00F20451" w:rsidRPr="00CD5F87" w:rsidRDefault="00F20451" w:rsidP="00F20451">
      <w:pPr>
        <w:spacing w:after="170" w:line="283" w:lineRule="auto"/>
        <w:ind w:left="10" w:hanging="10"/>
        <w:jc w:val="both"/>
        <w:rPr>
          <w:rFonts w:ascii="Calibri" w:eastAsia="Calibri" w:hAnsi="Calibri" w:cs="Calibri"/>
          <w:sz w:val="20"/>
        </w:rPr>
      </w:pPr>
      <w:r w:rsidRPr="00CD5F87">
        <w:rPr>
          <w:rFonts w:ascii="Calibri" w:eastAsia="Calibri" w:hAnsi="Calibri" w:cs="Calibri"/>
          <w:sz w:val="20"/>
        </w:rPr>
        <w:t>6.6. A execução do contrato deverá ser acompanhada e fiscalizada pelo (s) fiscal(is) do contrato, ou pelo (s) respectivo(s) substituto(s) (Lei nº 14.133, de 2021, art. 117, caput).</w:t>
      </w:r>
    </w:p>
    <w:p w14:paraId="050FEF25" w14:textId="77777777" w:rsidR="00F20451" w:rsidRDefault="00F20451" w:rsidP="00F20451">
      <w:pPr>
        <w:spacing w:after="226"/>
        <w:ind w:left="15"/>
      </w:pPr>
      <w:r>
        <w:rPr>
          <w:rFonts w:ascii="Calibri" w:eastAsia="Calibri" w:hAnsi="Calibri" w:cs="Calibri"/>
          <w:sz w:val="18"/>
        </w:rPr>
        <w:t xml:space="preserve"> </w:t>
      </w:r>
    </w:p>
    <w:p w14:paraId="4F5609AD" w14:textId="77777777" w:rsidR="00F20451" w:rsidRPr="00CD5F87" w:rsidRDefault="00F20451" w:rsidP="00CD5F87">
      <w:pPr>
        <w:spacing w:after="212" w:line="283" w:lineRule="auto"/>
        <w:ind w:left="10" w:hanging="10"/>
        <w:jc w:val="both"/>
        <w:rPr>
          <w:rFonts w:ascii="Calibri" w:eastAsia="Calibri" w:hAnsi="Calibri" w:cs="Calibri"/>
          <w:b/>
          <w:sz w:val="20"/>
        </w:rPr>
      </w:pPr>
      <w:r w:rsidRPr="00CD5F87">
        <w:rPr>
          <w:rFonts w:ascii="Calibri" w:eastAsia="Calibri" w:hAnsi="Calibri" w:cs="Calibri"/>
          <w:b/>
          <w:sz w:val="20"/>
        </w:rPr>
        <w:t>Fiscalização Técnica</w:t>
      </w:r>
    </w:p>
    <w:p w14:paraId="32BE0445" w14:textId="77777777" w:rsidR="00F20451" w:rsidRDefault="00F20451" w:rsidP="00F20451">
      <w:pPr>
        <w:spacing w:after="210" w:line="267" w:lineRule="auto"/>
        <w:ind w:left="10" w:right="19" w:hanging="10"/>
        <w:jc w:val="both"/>
      </w:pPr>
      <w:r>
        <w:rPr>
          <w:rFonts w:ascii="Calibri" w:eastAsia="Calibri" w:hAnsi="Calibri" w:cs="Calibri"/>
          <w:sz w:val="20"/>
        </w:rPr>
        <w:t>6.7. O fiscal técnico do contrato acompanhará a execução do contrato, para que sejam cumpridas todas as condições estabelecidas no contrato, de modo a assegurar os melhores resultados para a Administração (</w:t>
      </w:r>
      <w:r>
        <w:rPr>
          <w:rFonts w:ascii="Calibri" w:eastAsia="Calibri" w:hAnsi="Calibri" w:cs="Calibri"/>
          <w:color w:val="000080"/>
          <w:sz w:val="20"/>
        </w:rPr>
        <w:t>Decreto estadual nº 68.220, de 2023</w:t>
      </w:r>
      <w:r>
        <w:rPr>
          <w:rFonts w:ascii="Calibri" w:eastAsia="Calibri" w:hAnsi="Calibri" w:cs="Calibri"/>
          <w:sz w:val="20"/>
        </w:rPr>
        <w:t>, art. 17).</w:t>
      </w:r>
    </w:p>
    <w:p w14:paraId="3EB69D6A" w14:textId="77777777" w:rsidR="00F20451" w:rsidRDefault="00F20451" w:rsidP="00F20451">
      <w:pPr>
        <w:spacing w:after="210" w:line="267" w:lineRule="auto"/>
        <w:ind w:left="10" w:right="19" w:hanging="10"/>
        <w:jc w:val="both"/>
      </w:pPr>
      <w:r>
        <w:rPr>
          <w:rFonts w:ascii="Calibri" w:eastAsia="Calibri" w:hAnsi="Calibri" w:cs="Calibri"/>
          <w:sz w:val="20"/>
        </w:rPr>
        <w:t xml:space="preserve">6.7.1. O fiscal técnico do contrato anotará no histórico de gerenciamento do contrato todas as ocorrências relacionadas à execução do contrato, com a descrição do que for necessário para a regularização das faltas ou dos defeitos observados ( </w:t>
      </w:r>
      <w:r>
        <w:rPr>
          <w:rFonts w:ascii="Calibri" w:eastAsia="Calibri" w:hAnsi="Calibri" w:cs="Calibri"/>
          <w:color w:val="000080"/>
          <w:sz w:val="20"/>
        </w:rPr>
        <w:t>Lei nº 14.133, de 2021, art. 117, §1º</w:t>
      </w:r>
      <w:r>
        <w:rPr>
          <w:rFonts w:ascii="Calibri" w:eastAsia="Calibri" w:hAnsi="Calibri" w:cs="Calibri"/>
          <w:sz w:val="20"/>
        </w:rPr>
        <w:t xml:space="preserve">, e </w:t>
      </w:r>
      <w:r>
        <w:rPr>
          <w:rFonts w:ascii="Calibri" w:eastAsia="Calibri" w:hAnsi="Calibri" w:cs="Calibri"/>
          <w:color w:val="000080"/>
          <w:sz w:val="20"/>
        </w:rPr>
        <w:t>Decreto estadual nº 68.220, de 2023</w:t>
      </w:r>
      <w:r>
        <w:rPr>
          <w:rFonts w:ascii="Calibri" w:eastAsia="Calibri" w:hAnsi="Calibri" w:cs="Calibri"/>
          <w:sz w:val="20"/>
        </w:rPr>
        <w:t>, art. 17, II).</w:t>
      </w:r>
    </w:p>
    <w:p w14:paraId="7EC1B6E2" w14:textId="77777777" w:rsidR="00F20451" w:rsidRDefault="00F20451" w:rsidP="00F20451">
      <w:pPr>
        <w:spacing w:after="210" w:line="267" w:lineRule="auto"/>
        <w:ind w:left="10" w:right="19" w:hanging="10"/>
        <w:jc w:val="both"/>
      </w:pPr>
      <w:r>
        <w:rPr>
          <w:rFonts w:ascii="Calibri" w:eastAsia="Calibri" w:hAnsi="Calibri" w:cs="Calibri"/>
          <w:sz w:val="20"/>
        </w:rPr>
        <w:t>6.7.2. O fiscal técnico adotará medidas preventivas de controle de contratos, manifestando-se quanto à necessidade de suspensão da execução do objeto (</w:t>
      </w:r>
      <w:r>
        <w:rPr>
          <w:rFonts w:ascii="Calibri" w:eastAsia="Calibri" w:hAnsi="Calibri" w:cs="Calibri"/>
          <w:color w:val="000080"/>
          <w:sz w:val="20"/>
        </w:rPr>
        <w:t>Decreto estadual nº 68.220, de 2023</w:t>
      </w:r>
      <w:r>
        <w:rPr>
          <w:rFonts w:ascii="Calibri" w:eastAsia="Calibri" w:hAnsi="Calibri" w:cs="Calibri"/>
          <w:sz w:val="20"/>
        </w:rPr>
        <w:t>, art. 17, IV).</w:t>
      </w:r>
    </w:p>
    <w:p w14:paraId="6891F1F6" w14:textId="77777777" w:rsidR="00F20451" w:rsidRDefault="00F20451" w:rsidP="00F20451">
      <w:pPr>
        <w:spacing w:after="210" w:line="267" w:lineRule="auto"/>
        <w:ind w:left="10" w:right="19" w:hanging="10"/>
        <w:jc w:val="both"/>
      </w:pPr>
      <w:r>
        <w:rPr>
          <w:rFonts w:ascii="Calibri" w:eastAsia="Calibri" w:hAnsi="Calibri" w:cs="Calibri"/>
          <w:sz w:val="20"/>
        </w:rPr>
        <w:t>6.7.3. O fiscal técnico do contrato informará ao gestor do contrato, em tempo hábil, a situação que demandar decisão ou adoção de medidas que ultrapassem sua competência, para que adote as medidas necessárias e saneadoras, se for o caso (</w:t>
      </w:r>
      <w:r>
        <w:rPr>
          <w:rFonts w:ascii="Calibri" w:eastAsia="Calibri" w:hAnsi="Calibri" w:cs="Calibri"/>
          <w:color w:val="000080"/>
          <w:sz w:val="20"/>
        </w:rPr>
        <w:t>Lei federal nº 14.133, de 2021</w:t>
      </w:r>
      <w:r>
        <w:rPr>
          <w:rFonts w:ascii="Calibri" w:eastAsia="Calibri" w:hAnsi="Calibri" w:cs="Calibri"/>
          <w:sz w:val="20"/>
        </w:rPr>
        <w:t>, artigo 117, § 2º).</w:t>
      </w:r>
    </w:p>
    <w:p w14:paraId="41FC5FEE" w14:textId="77777777" w:rsidR="00F20451" w:rsidRDefault="00F20451" w:rsidP="00F20451">
      <w:pPr>
        <w:spacing w:after="176" w:line="267" w:lineRule="auto"/>
        <w:ind w:left="10" w:right="19" w:hanging="10"/>
        <w:jc w:val="both"/>
      </w:pPr>
      <w:r>
        <w:rPr>
          <w:rFonts w:ascii="Calibri" w:eastAsia="Calibri" w:hAnsi="Calibri" w:cs="Calibri"/>
          <w:sz w:val="20"/>
        </w:rPr>
        <w:t>6.7.4. No caso de ocorrências que possam inviabilizar a execução do contrato nas datas aprazadas, o fiscal técnico do contrato comunicará o fato imediatamente ao gestor do contrato (</w:t>
      </w:r>
      <w:r>
        <w:rPr>
          <w:rFonts w:ascii="Calibri" w:eastAsia="Calibri" w:hAnsi="Calibri" w:cs="Calibri"/>
          <w:color w:val="000080"/>
          <w:sz w:val="20"/>
        </w:rPr>
        <w:t>Decreto estadual nº 68.220, de 2023</w:t>
      </w:r>
      <w:r>
        <w:rPr>
          <w:rFonts w:ascii="Calibri" w:eastAsia="Calibri" w:hAnsi="Calibri" w:cs="Calibri"/>
          <w:sz w:val="20"/>
        </w:rPr>
        <w:t>, art. 17, II).</w:t>
      </w:r>
    </w:p>
    <w:p w14:paraId="09F90714" w14:textId="77777777" w:rsidR="00F20451" w:rsidRDefault="00F20451" w:rsidP="00F20451">
      <w:pPr>
        <w:spacing w:after="226"/>
      </w:pPr>
      <w:r>
        <w:rPr>
          <w:rFonts w:ascii="Calibri" w:eastAsia="Calibri" w:hAnsi="Calibri" w:cs="Calibri"/>
          <w:b/>
          <w:sz w:val="18"/>
        </w:rPr>
        <w:t xml:space="preserve"> </w:t>
      </w:r>
    </w:p>
    <w:p w14:paraId="31914709" w14:textId="77777777" w:rsidR="00F20451" w:rsidRPr="00CD5F87" w:rsidRDefault="00F20451" w:rsidP="00CD5F87">
      <w:pPr>
        <w:spacing w:after="212" w:line="283" w:lineRule="auto"/>
        <w:ind w:left="10" w:hanging="10"/>
        <w:jc w:val="both"/>
        <w:rPr>
          <w:rFonts w:ascii="Calibri" w:eastAsia="Calibri" w:hAnsi="Calibri" w:cs="Calibri"/>
          <w:b/>
          <w:sz w:val="20"/>
        </w:rPr>
      </w:pPr>
      <w:r w:rsidRPr="00CD5F87">
        <w:rPr>
          <w:rFonts w:ascii="Calibri" w:eastAsia="Calibri" w:hAnsi="Calibri" w:cs="Calibri"/>
          <w:b/>
          <w:sz w:val="20"/>
        </w:rPr>
        <w:t>Fiscalização Administrativa</w:t>
      </w:r>
    </w:p>
    <w:p w14:paraId="2D5EE3A9" w14:textId="77777777" w:rsidR="00F20451" w:rsidRDefault="00F20451" w:rsidP="00F20451">
      <w:pPr>
        <w:spacing w:after="210" w:line="267" w:lineRule="auto"/>
        <w:ind w:left="10" w:right="19" w:hanging="10"/>
        <w:jc w:val="both"/>
      </w:pPr>
      <w:r>
        <w:rPr>
          <w:rFonts w:ascii="Calibri" w:eastAsia="Calibri" w:hAnsi="Calibri" w:cs="Calibri"/>
          <w:sz w:val="20"/>
        </w:rPr>
        <w:t>6.8. O fiscal administrativo do contrato verificará a manutenção das condições de habilitação do Contratado, acompanhará o empenho, o pagamento, as garantias, as glosas e a formalização de apostilamento e termos aditivos, solicitando quaisquer documentos comprobatórios pertinentes, caso necessário (</w:t>
      </w:r>
      <w:r>
        <w:rPr>
          <w:rFonts w:ascii="Calibri" w:eastAsia="Calibri" w:hAnsi="Calibri" w:cs="Calibri"/>
          <w:color w:val="000080"/>
          <w:sz w:val="20"/>
        </w:rPr>
        <w:t>Decreto estadual nº 68.220, de 2023</w:t>
      </w:r>
      <w:r>
        <w:rPr>
          <w:rFonts w:ascii="Calibri" w:eastAsia="Calibri" w:hAnsi="Calibri" w:cs="Calibri"/>
          <w:sz w:val="20"/>
        </w:rPr>
        <w:t>, art. 18, II e III).</w:t>
      </w:r>
    </w:p>
    <w:p w14:paraId="2C50977F" w14:textId="77777777" w:rsidR="00F20451" w:rsidRDefault="00F20451" w:rsidP="00F20451">
      <w:pPr>
        <w:spacing w:after="210" w:line="267" w:lineRule="auto"/>
        <w:ind w:left="10" w:right="19" w:hanging="10"/>
        <w:jc w:val="both"/>
      </w:pPr>
      <w:r>
        <w:rPr>
          <w:rFonts w:ascii="Calibri" w:eastAsia="Calibri" w:hAnsi="Calibri" w:cs="Calibri"/>
          <w:sz w:val="20"/>
        </w:rPr>
        <w:t>6.8.1. Caso ocorra descumprimento das obrigações contratuais, o fiscal administrativo do contrato atuará tempestivamente na solução do problema, reportando ao gestor do contrato para que tome as providências cabíveis, quando ultrapassar a sua competência (</w:t>
      </w:r>
      <w:r>
        <w:rPr>
          <w:rFonts w:ascii="Calibri" w:eastAsia="Calibri" w:hAnsi="Calibri" w:cs="Calibri"/>
          <w:color w:val="000080"/>
          <w:sz w:val="20"/>
        </w:rPr>
        <w:t>Decreto estadual nº 68.220, de 2023</w:t>
      </w:r>
      <w:r>
        <w:rPr>
          <w:rFonts w:ascii="Calibri" w:eastAsia="Calibri" w:hAnsi="Calibri" w:cs="Calibri"/>
          <w:sz w:val="20"/>
        </w:rPr>
        <w:t>, art. 18, IV).</w:t>
      </w:r>
    </w:p>
    <w:p w14:paraId="2AD0B975" w14:textId="77777777" w:rsidR="00F20451" w:rsidRDefault="00F20451" w:rsidP="00F20451">
      <w:pPr>
        <w:spacing w:after="176" w:line="267" w:lineRule="auto"/>
        <w:ind w:left="10" w:right="19" w:hanging="10"/>
        <w:jc w:val="both"/>
      </w:pPr>
      <w:r>
        <w:rPr>
          <w:rFonts w:ascii="Calibri" w:eastAsia="Calibri" w:hAnsi="Calibri" w:cs="Calibri"/>
          <w:sz w:val="20"/>
        </w:rPr>
        <w:t xml:space="preserve">6.8.2. Sempre que solicitado pelo Contratante, o Contratado deverá comprovar o cumprimento da reserva de cargos prevista em lei para pessoa com deficiência, para reabilitado da Previdência Social ou para aprendiz, bem como as reservas de cargos previstas em outras normas específicas, com a indicação dos empregados que preencherem as referidas vagas, nos termos do parágrafo único do art. 116 da </w:t>
      </w:r>
      <w:r>
        <w:rPr>
          <w:rFonts w:ascii="Calibri" w:eastAsia="Calibri" w:hAnsi="Calibri" w:cs="Calibri"/>
          <w:color w:val="000080"/>
          <w:sz w:val="20"/>
        </w:rPr>
        <w:t>Lei nº 14.133, de 2021</w:t>
      </w:r>
      <w:r>
        <w:rPr>
          <w:rFonts w:ascii="Calibri" w:eastAsia="Calibri" w:hAnsi="Calibri" w:cs="Calibri"/>
          <w:sz w:val="20"/>
        </w:rPr>
        <w:t>.</w:t>
      </w:r>
    </w:p>
    <w:p w14:paraId="24677A93" w14:textId="77777777" w:rsidR="00F20451" w:rsidRDefault="00F20451" w:rsidP="00F20451">
      <w:pPr>
        <w:spacing w:after="226"/>
        <w:ind w:left="15"/>
      </w:pPr>
      <w:r>
        <w:rPr>
          <w:rFonts w:ascii="Calibri" w:eastAsia="Calibri" w:hAnsi="Calibri" w:cs="Calibri"/>
          <w:b/>
          <w:sz w:val="18"/>
        </w:rPr>
        <w:t xml:space="preserve"> </w:t>
      </w:r>
    </w:p>
    <w:p w14:paraId="30D60E4E" w14:textId="77777777" w:rsidR="00F20451" w:rsidRPr="00CD5F87" w:rsidRDefault="00F20451" w:rsidP="00CD5F87">
      <w:pPr>
        <w:spacing w:after="212" w:line="283" w:lineRule="auto"/>
        <w:ind w:left="10" w:hanging="10"/>
        <w:jc w:val="both"/>
        <w:rPr>
          <w:rFonts w:ascii="Calibri" w:eastAsia="Calibri" w:hAnsi="Calibri" w:cs="Calibri"/>
          <w:b/>
          <w:sz w:val="20"/>
        </w:rPr>
      </w:pPr>
      <w:r w:rsidRPr="00CD5F87">
        <w:rPr>
          <w:rFonts w:ascii="Calibri" w:eastAsia="Calibri" w:hAnsi="Calibri" w:cs="Calibri"/>
          <w:b/>
          <w:sz w:val="20"/>
        </w:rPr>
        <w:t>Gestor do Contrato</w:t>
      </w:r>
    </w:p>
    <w:p w14:paraId="1EEF82F5" w14:textId="77777777" w:rsidR="00F20451" w:rsidRDefault="00F20451" w:rsidP="00F20451">
      <w:pPr>
        <w:spacing w:after="210" w:line="267" w:lineRule="auto"/>
        <w:ind w:left="10" w:right="19" w:hanging="10"/>
        <w:jc w:val="both"/>
      </w:pPr>
      <w:r>
        <w:rPr>
          <w:rFonts w:ascii="Calibri" w:eastAsia="Calibri" w:hAnsi="Calibri" w:cs="Calibri"/>
          <w:sz w:val="20"/>
        </w:rPr>
        <w:lastRenderedPageBreak/>
        <w:t>6.9. O gestor do contrato exercerá a atividade de coordenação dos atos de fiscalização técnica, administrativa e setorial e dos atos preparatórios à instrução processual visando, entre outros, à prorrogação, à alteração, ao reequilíbrio, ao pagamento, à eventual aplicação de sanções e à extinção dos contratos (Decreto estadual nº 68.220, de 2023, inciso III do art. 2º.</w:t>
      </w:r>
    </w:p>
    <w:p w14:paraId="657FA274" w14:textId="77777777" w:rsidR="00F20451" w:rsidRDefault="00F20451" w:rsidP="00F20451">
      <w:pPr>
        <w:spacing w:after="210" w:line="267" w:lineRule="auto"/>
        <w:ind w:left="10" w:right="130" w:hanging="10"/>
        <w:jc w:val="both"/>
      </w:pPr>
      <w:r>
        <w:rPr>
          <w:rFonts w:ascii="Calibri" w:eastAsia="Calibri" w:hAnsi="Calibri" w:cs="Calibri"/>
          <w:sz w:val="20"/>
        </w:rPr>
        <w:t>6.10. O gestor do contrato acompanhará a manutenção das condições de habilitação da contratada, para fins de empenho de despesa e pagamento, e anotará os problemas que obstem o fluxo normal da liquidação e do pagamento da despesa no relatório de riscos eventuais. (Decreto estadual nº 68.220, de 2023, art. 16, IX).</w:t>
      </w:r>
    </w:p>
    <w:p w14:paraId="6C8837D8" w14:textId="77777777" w:rsidR="00F20451" w:rsidRDefault="00F20451" w:rsidP="00F20451">
      <w:pPr>
        <w:spacing w:after="210" w:line="267" w:lineRule="auto"/>
        <w:ind w:left="10" w:right="130" w:hanging="10"/>
        <w:jc w:val="both"/>
      </w:pPr>
      <w:r>
        <w:rPr>
          <w:rFonts w:ascii="Calibri" w:eastAsia="Calibri" w:hAnsi="Calibri" w:cs="Calibri"/>
          <w:sz w:val="20"/>
        </w:rPr>
        <w:t>6.11. O gestor do contrato emitirá documento comprobatório da avaliação realizada pelos fiscais técnico, administrativo e setorial, quando houver,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(Decreto estadual nº 68.220, de 2023, art. 18, VII).</w:t>
      </w:r>
    </w:p>
    <w:p w14:paraId="40D35567" w14:textId="77777777" w:rsidR="00F20451" w:rsidRDefault="00F20451" w:rsidP="00F20451">
      <w:pPr>
        <w:spacing w:after="210" w:line="267" w:lineRule="auto"/>
        <w:ind w:left="10" w:right="19" w:hanging="10"/>
        <w:jc w:val="both"/>
      </w:pPr>
      <w:r>
        <w:rPr>
          <w:rFonts w:ascii="Calibri" w:eastAsia="Calibri" w:hAnsi="Calibri" w:cs="Calibri"/>
          <w:sz w:val="20"/>
        </w:rPr>
        <w:t>6.12. 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(Decreto estadual nº 68.220, de 2023, art. 16, VIII).</w:t>
      </w:r>
    </w:p>
    <w:p w14:paraId="068014AE" w14:textId="77777777" w:rsidR="00F20451" w:rsidRDefault="00F20451" w:rsidP="00F20451">
      <w:pPr>
        <w:spacing w:after="210" w:line="267" w:lineRule="auto"/>
        <w:ind w:left="10" w:right="130" w:hanging="10"/>
        <w:jc w:val="both"/>
      </w:pPr>
      <w:r>
        <w:rPr>
          <w:rFonts w:ascii="Calibri" w:eastAsia="Calibri" w:hAnsi="Calibri" w:cs="Calibri"/>
          <w:sz w:val="20"/>
        </w:rPr>
        <w:t>6.13. O gestor do contrato deverá elaborar relatório final com informações sobre a consecução dos objetivos que tenham justificado a contratação e eventuais condutas a serem adotadas para o aprimoramento das atividades da Administração. (Decreto estadual nº 68.220, de 2023, art. 16, VII e parágrafo único).</w:t>
      </w:r>
    </w:p>
    <w:p w14:paraId="7AA61CE4" w14:textId="77777777" w:rsidR="00F20451" w:rsidRDefault="00F20451" w:rsidP="00F20451">
      <w:pPr>
        <w:spacing w:after="172" w:line="267" w:lineRule="auto"/>
        <w:ind w:left="10" w:right="19" w:hanging="10"/>
        <w:jc w:val="both"/>
      </w:pPr>
      <w:r>
        <w:rPr>
          <w:rFonts w:ascii="Calibri" w:eastAsia="Calibri" w:hAnsi="Calibri" w:cs="Calibri"/>
          <w:sz w:val="20"/>
        </w:rPr>
        <w:t>6.14. O gestor do contrato deverá enviar a documentação pertinente ao setor de contratos para a formalização dos procedimentos de liquidação e pagamento, no valor dimensionado pela fiscalização e gestão nos termos do contrato.</w:t>
      </w:r>
    </w:p>
    <w:p w14:paraId="51AF542F" w14:textId="77777777" w:rsidR="00F20451" w:rsidRDefault="00F20451" w:rsidP="00F20451">
      <w:pPr>
        <w:spacing w:after="254"/>
      </w:pPr>
      <w:r>
        <w:rPr>
          <w:rFonts w:ascii="Calibri" w:eastAsia="Calibri" w:hAnsi="Calibri" w:cs="Calibri"/>
          <w:sz w:val="18"/>
        </w:rPr>
        <w:t xml:space="preserve"> </w:t>
      </w:r>
    </w:p>
    <w:p w14:paraId="4E3D6491" w14:textId="77777777" w:rsidR="00F20451" w:rsidRPr="00CD5F87" w:rsidRDefault="00F20451" w:rsidP="00CD5F87">
      <w:pPr>
        <w:spacing w:after="212" w:line="283" w:lineRule="auto"/>
        <w:ind w:left="10" w:hanging="10"/>
        <w:jc w:val="both"/>
        <w:rPr>
          <w:rFonts w:ascii="Calibri" w:eastAsia="Calibri" w:hAnsi="Calibri" w:cs="Calibri"/>
          <w:b/>
          <w:sz w:val="20"/>
        </w:rPr>
      </w:pPr>
      <w:r w:rsidRPr="00CD5F87">
        <w:rPr>
          <w:rFonts w:ascii="Calibri" w:eastAsia="Calibri" w:hAnsi="Calibri" w:cs="Calibri"/>
          <w:b/>
          <w:sz w:val="20"/>
        </w:rPr>
        <w:t xml:space="preserve">7. CRITÉRIOS DE MEDIÇÃO E DE PAGAMENTO       </w:t>
      </w:r>
    </w:p>
    <w:p w14:paraId="2447F22F" w14:textId="77777777" w:rsidR="00F20451" w:rsidRPr="00CD5F87" w:rsidRDefault="00F20451" w:rsidP="00CD5F87">
      <w:pPr>
        <w:spacing w:after="212" w:line="283" w:lineRule="auto"/>
        <w:ind w:left="10" w:hanging="10"/>
        <w:jc w:val="both"/>
        <w:rPr>
          <w:rFonts w:ascii="Calibri" w:eastAsia="Calibri" w:hAnsi="Calibri" w:cs="Calibri"/>
          <w:b/>
          <w:sz w:val="20"/>
        </w:rPr>
      </w:pPr>
      <w:r w:rsidRPr="00CD5F87">
        <w:rPr>
          <w:rFonts w:ascii="Calibri" w:eastAsia="Calibri" w:hAnsi="Calibri" w:cs="Calibri"/>
          <w:b/>
          <w:sz w:val="20"/>
        </w:rPr>
        <w:t>Recebimento</w:t>
      </w:r>
    </w:p>
    <w:p w14:paraId="7722B0F0" w14:textId="77777777" w:rsidR="00F20451" w:rsidRPr="00CD5F87" w:rsidRDefault="00F20451" w:rsidP="00CD5F87">
      <w:pPr>
        <w:spacing w:after="210" w:line="267" w:lineRule="auto"/>
        <w:ind w:left="10" w:right="130" w:hanging="10"/>
        <w:jc w:val="both"/>
        <w:rPr>
          <w:rFonts w:ascii="Calibri" w:eastAsia="Calibri" w:hAnsi="Calibri" w:cs="Calibri"/>
          <w:sz w:val="20"/>
        </w:rPr>
      </w:pPr>
      <w:r w:rsidRPr="00CD5F87">
        <w:rPr>
          <w:rFonts w:ascii="Calibri" w:eastAsia="Calibri" w:hAnsi="Calibri" w:cs="Calibri"/>
          <w:sz w:val="20"/>
        </w:rPr>
        <w:t>7.1. Os bens serão recebidos provisoriamente, de forma sumária, no ato da entrega, juntamente com a nota fiscal ou instrumento de cobrança equivalente, pelo (a) responsável pelo acompanhamento e fiscalização do contrato, para efeito de posterior verificação de sua conformidade com as especificações constantes no Termo de Referência e na proposta.</w:t>
      </w:r>
    </w:p>
    <w:p w14:paraId="08EAEC6A" w14:textId="77777777" w:rsidR="00F20451" w:rsidRPr="00CD5F87" w:rsidRDefault="00F20451" w:rsidP="00CD5F87">
      <w:pPr>
        <w:spacing w:after="210" w:line="267" w:lineRule="auto"/>
        <w:ind w:left="10" w:right="130" w:hanging="10"/>
        <w:jc w:val="both"/>
        <w:rPr>
          <w:rFonts w:ascii="Calibri" w:eastAsia="Calibri" w:hAnsi="Calibri" w:cs="Calibri"/>
          <w:sz w:val="20"/>
        </w:rPr>
      </w:pPr>
      <w:r w:rsidRPr="00CD5F87">
        <w:rPr>
          <w:rFonts w:ascii="Calibri" w:eastAsia="Calibri" w:hAnsi="Calibri" w:cs="Calibri"/>
          <w:sz w:val="20"/>
        </w:rPr>
        <w:t>7.2. Os bens poderão ser rejeitados, no todo ou em parte, inclusive antes do recebimento provisório, quando em desacordo com as especificações constantes no Termo de Referência e na proposta, devendo ser substituídos no prazo de 10 (dias), a contar da notificação do Contratado, às suas custas, sem prejuízo da aplicação das penalidades.</w:t>
      </w:r>
    </w:p>
    <w:p w14:paraId="377C507C" w14:textId="77777777" w:rsidR="00F20451" w:rsidRPr="00CD5F87" w:rsidRDefault="00F20451" w:rsidP="00CD5F87">
      <w:pPr>
        <w:spacing w:after="210" w:line="267" w:lineRule="auto"/>
        <w:ind w:left="10" w:right="130" w:hanging="10"/>
        <w:jc w:val="both"/>
        <w:rPr>
          <w:rFonts w:ascii="Calibri" w:eastAsia="Calibri" w:hAnsi="Calibri" w:cs="Calibri"/>
          <w:sz w:val="20"/>
        </w:rPr>
      </w:pPr>
      <w:r w:rsidRPr="00CD5F87">
        <w:rPr>
          <w:rFonts w:ascii="Calibri" w:eastAsia="Calibri" w:hAnsi="Calibri" w:cs="Calibri"/>
          <w:sz w:val="20"/>
        </w:rPr>
        <w:t>7.3. O recebimento definitivo ocorrerá no prazo de até 10 (dez) dias úteis, a contar do recebimento da nota fiscal ou instrumento de cobrança equivalente pela Administração, após a verificação da qualidade e quantidade do material e consequente aceitação mediante termo detalhado.</w:t>
      </w:r>
    </w:p>
    <w:p w14:paraId="372884CE" w14:textId="77777777" w:rsidR="00F20451" w:rsidRPr="00CD5F87" w:rsidRDefault="00F20451" w:rsidP="00CD5F87">
      <w:pPr>
        <w:spacing w:after="210" w:line="267" w:lineRule="auto"/>
        <w:ind w:left="10" w:right="130" w:hanging="10"/>
        <w:jc w:val="both"/>
        <w:rPr>
          <w:rFonts w:ascii="Calibri" w:eastAsia="Calibri" w:hAnsi="Calibri" w:cs="Calibri"/>
          <w:sz w:val="20"/>
        </w:rPr>
      </w:pPr>
      <w:r w:rsidRPr="00CD5F87">
        <w:rPr>
          <w:rFonts w:ascii="Calibri" w:eastAsia="Calibri" w:hAnsi="Calibri" w:cs="Calibri"/>
          <w:sz w:val="20"/>
        </w:rPr>
        <w:t>7.4. O prazo para recebimento definitivo poderá ser excepcionalmente prorrogado, de forma justificada, por igual período, quando houver necessidade de diligências para a aferição do atendimento das exigências contratuais.</w:t>
      </w:r>
    </w:p>
    <w:p w14:paraId="287BB1EC" w14:textId="77777777" w:rsidR="00F20451" w:rsidRPr="00CD5F87" w:rsidRDefault="00F20451" w:rsidP="00CD5F87">
      <w:pPr>
        <w:spacing w:after="210" w:line="267" w:lineRule="auto"/>
        <w:ind w:left="10" w:right="130" w:hanging="10"/>
        <w:jc w:val="both"/>
        <w:rPr>
          <w:rFonts w:ascii="Calibri" w:eastAsia="Calibri" w:hAnsi="Calibri" w:cs="Calibri"/>
          <w:sz w:val="20"/>
        </w:rPr>
      </w:pPr>
      <w:r w:rsidRPr="00CD5F87">
        <w:rPr>
          <w:rFonts w:ascii="Calibri" w:eastAsia="Calibri" w:hAnsi="Calibri" w:cs="Calibri"/>
          <w:sz w:val="20"/>
        </w:rPr>
        <w:t>7.5. No caso de controvérsia sobre a execução do objeto, quanto à dimensão, qualidade e quantidade, se houver parcela incontroversa, deverá ser observado o teor do art. 143 da Lei nº 14.133, de 2021, com a comunicação ao contratado para emissão de Nota Fiscal/Fatura no que pertence à parcela incontroversa, para efeito de liquidação e pagamento.</w:t>
      </w:r>
    </w:p>
    <w:p w14:paraId="2C657178" w14:textId="77777777" w:rsidR="00F20451" w:rsidRPr="00CD5F87" w:rsidRDefault="00F20451" w:rsidP="00CD5F87">
      <w:pPr>
        <w:spacing w:after="210" w:line="267" w:lineRule="auto"/>
        <w:ind w:left="10" w:right="130" w:hanging="10"/>
        <w:jc w:val="both"/>
        <w:rPr>
          <w:rFonts w:ascii="Calibri" w:eastAsia="Calibri" w:hAnsi="Calibri" w:cs="Calibri"/>
          <w:sz w:val="20"/>
        </w:rPr>
      </w:pPr>
      <w:r w:rsidRPr="00CD5F87">
        <w:rPr>
          <w:rFonts w:ascii="Calibri" w:eastAsia="Calibri" w:hAnsi="Calibri" w:cs="Calibri"/>
          <w:sz w:val="20"/>
        </w:rPr>
        <w:t>7.6. 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4ABECE0D" w14:textId="77777777" w:rsidR="00F20451" w:rsidRPr="00CD5F87" w:rsidRDefault="00F20451" w:rsidP="00CD5F87">
      <w:pPr>
        <w:spacing w:after="210" w:line="267" w:lineRule="auto"/>
        <w:ind w:left="10" w:right="130" w:hanging="10"/>
        <w:jc w:val="both"/>
        <w:rPr>
          <w:rFonts w:ascii="Calibri" w:eastAsia="Calibri" w:hAnsi="Calibri" w:cs="Calibri"/>
          <w:sz w:val="20"/>
        </w:rPr>
      </w:pPr>
      <w:r w:rsidRPr="00CD5F87">
        <w:rPr>
          <w:rFonts w:ascii="Calibri" w:eastAsia="Calibri" w:hAnsi="Calibri" w:cs="Calibri"/>
          <w:sz w:val="20"/>
        </w:rPr>
        <w:lastRenderedPageBreak/>
        <w:t>7.7. O recebimento provisório ou definitivo não excluirá a responsabilidade civil pela solidez e pela segurança dos bens nem a responsabilidade ético-profissional pela perfeita execução do contrato.</w:t>
      </w:r>
    </w:p>
    <w:p w14:paraId="14F3B12D" w14:textId="77777777" w:rsidR="00F20451" w:rsidRDefault="00F20451" w:rsidP="00F20451">
      <w:pPr>
        <w:spacing w:after="174"/>
        <w:ind w:left="15"/>
      </w:pPr>
      <w:r>
        <w:rPr>
          <w:rFonts w:ascii="Calibri" w:eastAsia="Calibri" w:hAnsi="Calibri" w:cs="Calibri"/>
          <w:b/>
          <w:sz w:val="21"/>
        </w:rPr>
        <w:t xml:space="preserve"> </w:t>
      </w:r>
    </w:p>
    <w:p w14:paraId="63E0C6C4" w14:textId="77777777" w:rsidR="00F20451" w:rsidRPr="00CD5F87" w:rsidRDefault="00F20451" w:rsidP="00CD5F87">
      <w:pPr>
        <w:spacing w:after="212" w:line="283" w:lineRule="auto"/>
        <w:ind w:left="10" w:hanging="10"/>
        <w:jc w:val="both"/>
        <w:rPr>
          <w:rFonts w:ascii="Calibri" w:eastAsia="Calibri" w:hAnsi="Calibri" w:cs="Calibri"/>
          <w:b/>
          <w:sz w:val="20"/>
        </w:rPr>
      </w:pPr>
      <w:r w:rsidRPr="00CD5F87">
        <w:rPr>
          <w:rFonts w:ascii="Calibri" w:eastAsia="Calibri" w:hAnsi="Calibri" w:cs="Calibri"/>
          <w:b/>
          <w:sz w:val="20"/>
        </w:rPr>
        <w:t>Liquidação</w:t>
      </w:r>
    </w:p>
    <w:p w14:paraId="4136289E" w14:textId="77777777" w:rsidR="00F20451" w:rsidRDefault="00F20451" w:rsidP="00F20451">
      <w:pPr>
        <w:spacing w:after="210" w:line="267" w:lineRule="auto"/>
        <w:ind w:left="10" w:right="128" w:hanging="10"/>
        <w:jc w:val="both"/>
      </w:pPr>
      <w:r>
        <w:rPr>
          <w:rFonts w:ascii="Calibri" w:eastAsia="Calibri" w:hAnsi="Calibri" w:cs="Calibri"/>
          <w:sz w:val="20"/>
        </w:rPr>
        <w:t xml:space="preserve">7.8. Recebida a Nota Fiscal ou documento de cobrança equivalente, correrá o prazo de 10 (dez) dias úteis para fins de liquidação, a contar de seu recebimento pela Administração, na forma desta seção, prorrogáveis por igual período, justificadamente, quando houver necessidade de diligências para a aferição do atendimento das exigências contratuais (art. 7º, I, e §§ 2º e 3º, da </w:t>
      </w:r>
      <w:r>
        <w:rPr>
          <w:rFonts w:ascii="Calibri" w:eastAsia="Calibri" w:hAnsi="Calibri" w:cs="Calibri"/>
          <w:color w:val="00007F"/>
          <w:sz w:val="20"/>
          <w:u w:val="single" w:color="000000"/>
        </w:rPr>
        <w:t>Instrução Normativa</w:t>
      </w:r>
      <w:r>
        <w:rPr>
          <w:rFonts w:ascii="Calibri" w:eastAsia="Calibri" w:hAnsi="Calibri" w:cs="Calibri"/>
          <w:color w:val="00007F"/>
          <w:sz w:val="20"/>
        </w:rPr>
        <w:t xml:space="preserve"> </w:t>
      </w:r>
      <w:r>
        <w:rPr>
          <w:rFonts w:ascii="Calibri" w:eastAsia="Calibri" w:hAnsi="Calibri" w:cs="Calibri"/>
          <w:color w:val="00007F"/>
          <w:sz w:val="20"/>
          <w:u w:val="single" w:color="00007F"/>
        </w:rPr>
        <w:t>SEGES/ME nº 77, de 4 de novembro de 202</w:t>
      </w:r>
      <w:r>
        <w:rPr>
          <w:rFonts w:ascii="Calibri" w:eastAsia="Calibri" w:hAnsi="Calibri" w:cs="Calibri"/>
          <w:color w:val="00007F"/>
          <w:sz w:val="20"/>
        </w:rPr>
        <w:t>2</w:t>
      </w:r>
      <w:r>
        <w:rPr>
          <w:rFonts w:ascii="Calibri" w:eastAsia="Calibri" w:hAnsi="Calibri" w:cs="Calibri"/>
          <w:sz w:val="20"/>
        </w:rPr>
        <w:t xml:space="preserve">, c/c o </w:t>
      </w:r>
      <w:r>
        <w:rPr>
          <w:rFonts w:ascii="Calibri" w:eastAsia="Calibri" w:hAnsi="Calibri" w:cs="Calibri"/>
          <w:color w:val="00007F"/>
          <w:sz w:val="20"/>
          <w:u w:val="single" w:color="000000"/>
        </w:rPr>
        <w:t>Decreto estadual n</w:t>
      </w:r>
      <w:r>
        <w:rPr>
          <w:rFonts w:ascii="Calibri" w:eastAsia="Calibri" w:hAnsi="Calibri" w:cs="Calibri"/>
          <w:color w:val="00007F"/>
          <w:sz w:val="20"/>
        </w:rPr>
        <w:t xml:space="preserve">º </w:t>
      </w:r>
      <w:r>
        <w:rPr>
          <w:rFonts w:ascii="Calibri" w:eastAsia="Calibri" w:hAnsi="Calibri" w:cs="Calibri"/>
          <w:color w:val="00007F"/>
          <w:sz w:val="20"/>
          <w:u w:val="single" w:color="000000"/>
        </w:rPr>
        <w:t>67.608, de 2023</w:t>
      </w:r>
      <w:r>
        <w:rPr>
          <w:rFonts w:ascii="Calibri" w:eastAsia="Calibri" w:hAnsi="Calibri" w:cs="Calibri"/>
          <w:sz w:val="20"/>
        </w:rPr>
        <w:t>).</w:t>
      </w:r>
    </w:p>
    <w:p w14:paraId="55C0FFF3" w14:textId="77777777" w:rsidR="00F20451" w:rsidRDefault="00F20451" w:rsidP="00F20451">
      <w:pPr>
        <w:spacing w:after="210" w:line="267" w:lineRule="auto"/>
        <w:ind w:left="10" w:right="19" w:hanging="10"/>
        <w:jc w:val="both"/>
      </w:pPr>
      <w:r>
        <w:rPr>
          <w:rFonts w:ascii="Calibri" w:eastAsia="Calibri" w:hAnsi="Calibri" w:cs="Calibri"/>
          <w:sz w:val="20"/>
        </w:rPr>
        <w:t xml:space="preserve">7.8.1. O prazo de que trata o item anterior será reduzido à metade, mantendo-se a possibilidade de prorrogação nele especificada, no caso de contratações decorrentes de despesas cujos valores não ultrapassem o limite de que trata o </w:t>
      </w:r>
      <w:r>
        <w:rPr>
          <w:rFonts w:ascii="Calibri" w:eastAsia="Calibri" w:hAnsi="Calibri" w:cs="Calibri"/>
          <w:color w:val="00007F"/>
          <w:sz w:val="20"/>
          <w:u w:val="single" w:color="000000"/>
        </w:rPr>
        <w:t>inciso II do caput do art. 75 da Lei nº 14.133, de 2021</w:t>
      </w:r>
      <w:r>
        <w:rPr>
          <w:rFonts w:ascii="Calibri" w:eastAsia="Calibri" w:hAnsi="Calibri" w:cs="Calibri"/>
          <w:sz w:val="20"/>
        </w:rPr>
        <w:t>.</w:t>
      </w:r>
    </w:p>
    <w:p w14:paraId="68280336" w14:textId="77777777" w:rsidR="00F20451" w:rsidRPr="00CD5F87" w:rsidRDefault="00F20451" w:rsidP="00F20451">
      <w:pPr>
        <w:spacing w:after="210" w:line="267" w:lineRule="auto"/>
        <w:ind w:left="10" w:right="19" w:hanging="10"/>
        <w:jc w:val="both"/>
        <w:rPr>
          <w:rFonts w:ascii="Calibri" w:eastAsia="Calibri" w:hAnsi="Calibri" w:cs="Calibri"/>
          <w:sz w:val="20"/>
        </w:rPr>
      </w:pPr>
      <w:r>
        <w:rPr>
          <w:rFonts w:ascii="Calibri" w:eastAsia="Calibri" w:hAnsi="Calibri" w:cs="Calibri"/>
          <w:sz w:val="20"/>
        </w:rPr>
        <w:t>7.9. Para fins de liquidação, o setor competente deverá verificar se a nota fiscal ou instrumento de cobrança equivalente apresentado expressa os elementos necessários e essenciais do documento, tais como, caso aplicáveis:</w:t>
      </w:r>
    </w:p>
    <w:p w14:paraId="62102B12" w14:textId="77777777" w:rsidR="00F20451" w:rsidRPr="00CD5F87" w:rsidRDefault="00F20451" w:rsidP="00F20451">
      <w:pPr>
        <w:spacing w:after="212" w:line="283" w:lineRule="auto"/>
        <w:ind w:left="10" w:hanging="10"/>
        <w:jc w:val="both"/>
        <w:rPr>
          <w:rFonts w:ascii="Calibri" w:eastAsia="Calibri" w:hAnsi="Calibri" w:cs="Calibri"/>
          <w:sz w:val="20"/>
        </w:rPr>
      </w:pPr>
      <w:r w:rsidRPr="00CD5F87">
        <w:rPr>
          <w:rFonts w:ascii="Calibri" w:eastAsia="Calibri" w:hAnsi="Calibri" w:cs="Calibri"/>
          <w:sz w:val="20"/>
        </w:rPr>
        <w:t>7.9.1. O prazo de validade;</w:t>
      </w:r>
    </w:p>
    <w:p w14:paraId="2151466E" w14:textId="77777777" w:rsidR="00F20451" w:rsidRPr="00CD5F87" w:rsidRDefault="00F20451" w:rsidP="00F20451">
      <w:pPr>
        <w:spacing w:after="212" w:line="283" w:lineRule="auto"/>
        <w:ind w:left="10" w:hanging="10"/>
        <w:jc w:val="both"/>
        <w:rPr>
          <w:rFonts w:ascii="Calibri" w:eastAsia="Calibri" w:hAnsi="Calibri" w:cs="Calibri"/>
          <w:sz w:val="20"/>
        </w:rPr>
      </w:pPr>
      <w:r w:rsidRPr="00CD5F87">
        <w:rPr>
          <w:rFonts w:ascii="Calibri" w:eastAsia="Calibri" w:hAnsi="Calibri" w:cs="Calibri"/>
          <w:sz w:val="20"/>
        </w:rPr>
        <w:t>7.9.2. A data da emissão;</w:t>
      </w:r>
    </w:p>
    <w:p w14:paraId="4607AB39" w14:textId="77777777" w:rsidR="00F20451" w:rsidRPr="00CD5F87" w:rsidRDefault="00F20451" w:rsidP="00F20451">
      <w:pPr>
        <w:spacing w:after="212" w:line="283" w:lineRule="auto"/>
        <w:ind w:left="10" w:hanging="10"/>
        <w:jc w:val="both"/>
        <w:rPr>
          <w:rFonts w:ascii="Calibri" w:eastAsia="Calibri" w:hAnsi="Calibri" w:cs="Calibri"/>
          <w:sz w:val="20"/>
        </w:rPr>
      </w:pPr>
      <w:r w:rsidRPr="00CD5F87">
        <w:rPr>
          <w:rFonts w:ascii="Calibri" w:eastAsia="Calibri" w:hAnsi="Calibri" w:cs="Calibri"/>
          <w:sz w:val="20"/>
        </w:rPr>
        <w:t>7.9.3. Os dados do contrato e do órgão contratante;</w:t>
      </w:r>
    </w:p>
    <w:p w14:paraId="2F408B91" w14:textId="77777777" w:rsidR="00F20451" w:rsidRPr="00CD5F87" w:rsidRDefault="00F20451" w:rsidP="00F20451">
      <w:pPr>
        <w:spacing w:after="212" w:line="283" w:lineRule="auto"/>
        <w:ind w:left="10" w:hanging="10"/>
        <w:jc w:val="both"/>
        <w:rPr>
          <w:rFonts w:ascii="Calibri" w:eastAsia="Calibri" w:hAnsi="Calibri" w:cs="Calibri"/>
          <w:sz w:val="20"/>
        </w:rPr>
      </w:pPr>
      <w:r w:rsidRPr="00CD5F87">
        <w:rPr>
          <w:rFonts w:ascii="Calibri" w:eastAsia="Calibri" w:hAnsi="Calibri" w:cs="Calibri"/>
          <w:sz w:val="20"/>
        </w:rPr>
        <w:t>7.9.4. O período respectivo de execução do contrato;</w:t>
      </w:r>
    </w:p>
    <w:p w14:paraId="5A36F5B1" w14:textId="77777777" w:rsidR="00F20451" w:rsidRPr="00CD5F87" w:rsidRDefault="00F20451" w:rsidP="00F20451">
      <w:pPr>
        <w:spacing w:after="212" w:line="283" w:lineRule="auto"/>
        <w:ind w:left="10" w:hanging="10"/>
        <w:jc w:val="both"/>
        <w:rPr>
          <w:rFonts w:ascii="Calibri" w:eastAsia="Calibri" w:hAnsi="Calibri" w:cs="Calibri"/>
          <w:sz w:val="20"/>
        </w:rPr>
      </w:pPr>
      <w:r w:rsidRPr="00CD5F87">
        <w:rPr>
          <w:rFonts w:ascii="Calibri" w:eastAsia="Calibri" w:hAnsi="Calibri" w:cs="Calibri"/>
          <w:sz w:val="20"/>
        </w:rPr>
        <w:t>7.9.5. O valor a pagar; e</w:t>
      </w:r>
    </w:p>
    <w:p w14:paraId="097C741A" w14:textId="77777777" w:rsidR="00F20451" w:rsidRPr="00CD5F87" w:rsidRDefault="00F20451" w:rsidP="00F20451">
      <w:pPr>
        <w:spacing w:after="212" w:line="283" w:lineRule="auto"/>
        <w:ind w:left="10" w:hanging="10"/>
        <w:jc w:val="both"/>
        <w:rPr>
          <w:rFonts w:ascii="Calibri" w:eastAsia="Calibri" w:hAnsi="Calibri" w:cs="Calibri"/>
          <w:sz w:val="20"/>
        </w:rPr>
      </w:pPr>
      <w:r w:rsidRPr="00CD5F87">
        <w:rPr>
          <w:rFonts w:ascii="Calibri" w:eastAsia="Calibri" w:hAnsi="Calibri" w:cs="Calibri"/>
          <w:sz w:val="20"/>
        </w:rPr>
        <w:t>7.9.6. Eventual destaque do valor de retenções tributárias cabíveis.</w:t>
      </w:r>
    </w:p>
    <w:p w14:paraId="067EB309" w14:textId="77777777" w:rsidR="00F20451" w:rsidRPr="00CD5F87" w:rsidRDefault="00F20451" w:rsidP="00F20451">
      <w:pPr>
        <w:spacing w:after="210" w:line="267" w:lineRule="auto"/>
        <w:ind w:left="10" w:right="19" w:hanging="10"/>
        <w:jc w:val="both"/>
        <w:rPr>
          <w:rFonts w:ascii="Calibri" w:eastAsia="Calibri" w:hAnsi="Calibri" w:cs="Calibri"/>
          <w:sz w:val="20"/>
        </w:rPr>
      </w:pPr>
      <w:r>
        <w:rPr>
          <w:rFonts w:ascii="Calibri" w:eastAsia="Calibri" w:hAnsi="Calibri" w:cs="Calibri"/>
          <w:sz w:val="20"/>
        </w:rPr>
        <w:t>7.10. 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45A70C7A" w14:textId="77777777" w:rsidR="00F20451" w:rsidRDefault="00F20451" w:rsidP="00F20451">
      <w:pPr>
        <w:spacing w:after="210" w:line="267" w:lineRule="auto"/>
        <w:ind w:left="10" w:right="19" w:hanging="10"/>
        <w:jc w:val="both"/>
      </w:pPr>
      <w:r>
        <w:rPr>
          <w:rFonts w:ascii="Calibri" w:eastAsia="Calibri" w:hAnsi="Calibri" w:cs="Calibri"/>
          <w:sz w:val="20"/>
        </w:rPr>
        <w:t xml:space="preserve">7.11. A nota fiscal ou instrumento de cobrança equivalente deverá ser obrigatoriamente acompanhado da comprovação da regularidade fiscal, constatada por meio de consulta </w:t>
      </w:r>
      <w:r>
        <w:rPr>
          <w:rFonts w:ascii="Calibri" w:eastAsia="Calibri" w:hAnsi="Calibri" w:cs="Calibri"/>
          <w:i/>
          <w:sz w:val="20"/>
        </w:rPr>
        <w:t>on-line</w:t>
      </w:r>
      <w:r>
        <w:rPr>
          <w:rFonts w:ascii="Calibri" w:eastAsia="Calibri" w:hAnsi="Calibri" w:cs="Calibri"/>
          <w:sz w:val="20"/>
        </w:rPr>
        <w:t xml:space="preserve"> ao Sicaf ou, na impossibilidade de acesso ao referido Sistema, mediante consulta aos sítios eletrônicos oficiais ou à documentação mencionada no art. 68 da Lei nº 14.133, de 2021.   </w:t>
      </w:r>
    </w:p>
    <w:p w14:paraId="3496849B" w14:textId="77777777" w:rsidR="00F20451" w:rsidRDefault="00F20451" w:rsidP="00F20451">
      <w:pPr>
        <w:spacing w:after="210" w:line="267" w:lineRule="auto"/>
        <w:ind w:left="10" w:right="19" w:hanging="10"/>
        <w:jc w:val="both"/>
      </w:pPr>
      <w:r>
        <w:rPr>
          <w:rFonts w:ascii="Calibri" w:eastAsia="Calibri" w:hAnsi="Calibri" w:cs="Calibri"/>
          <w:sz w:val="20"/>
        </w:rPr>
        <w:t>7.12. A Administração deverá realizar consulta ao Sicaf para: a) verificar a manutenção das condições de habilitação exigidas no edital; b) identificar possível razão que impeça a participação em licitação, no âmbito do órgão ou entidade, tais como a proibição de contratar com o Poder Público, bem como ocorrências impeditivas indiretas (Instrução Normativa SEGES/MPDG nº 3, de 26 de abril de 2018 c/c Decreto estadual nº 67.608, de 2023).</w:t>
      </w:r>
    </w:p>
    <w:p w14:paraId="0D69F173" w14:textId="77777777" w:rsidR="00F20451" w:rsidRDefault="00F20451" w:rsidP="00F20451">
      <w:pPr>
        <w:spacing w:after="210" w:line="267" w:lineRule="auto"/>
        <w:ind w:left="10" w:right="19" w:hanging="10"/>
        <w:jc w:val="both"/>
      </w:pPr>
      <w:r>
        <w:rPr>
          <w:rFonts w:ascii="Calibri" w:eastAsia="Calibri" w:hAnsi="Calibri" w:cs="Calibri"/>
          <w:sz w:val="20"/>
        </w:rPr>
        <w:t>7.13. 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346072AA" w14:textId="77777777" w:rsidR="00F20451" w:rsidRDefault="00F20451" w:rsidP="00F20451">
      <w:pPr>
        <w:spacing w:after="210" w:line="267" w:lineRule="auto"/>
        <w:ind w:left="10" w:right="19" w:hanging="10"/>
        <w:jc w:val="both"/>
      </w:pPr>
      <w:r>
        <w:rPr>
          <w:rFonts w:ascii="Calibri" w:eastAsia="Calibri" w:hAnsi="Calibri" w:cs="Calibri"/>
          <w:sz w:val="20"/>
        </w:rPr>
        <w:t xml:space="preserve">7.14. 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731BABD6" w14:textId="77777777" w:rsidR="00F20451" w:rsidRDefault="00F20451" w:rsidP="00F20451">
      <w:pPr>
        <w:spacing w:after="210" w:line="267" w:lineRule="auto"/>
        <w:ind w:left="10" w:right="19" w:hanging="10"/>
        <w:jc w:val="both"/>
      </w:pPr>
      <w:r>
        <w:rPr>
          <w:rFonts w:ascii="Calibri" w:eastAsia="Calibri" w:hAnsi="Calibri" w:cs="Calibri"/>
          <w:sz w:val="20"/>
        </w:rPr>
        <w:t>7.15. Persistindo a irregularidade, o Contratante deverá adotar as medidas necessárias à extinção contratual nos autos do processo administrativo correspondente, assegurada ao Contratado a ampla defesa.</w:t>
      </w:r>
    </w:p>
    <w:p w14:paraId="079C26E8" w14:textId="77777777" w:rsidR="00F20451" w:rsidRDefault="00F20451" w:rsidP="00F20451">
      <w:pPr>
        <w:spacing w:after="171" w:line="267" w:lineRule="auto"/>
        <w:ind w:left="10" w:right="19" w:hanging="10"/>
        <w:jc w:val="both"/>
      </w:pPr>
      <w:r>
        <w:rPr>
          <w:rFonts w:ascii="Calibri" w:eastAsia="Calibri" w:hAnsi="Calibri" w:cs="Calibri"/>
          <w:sz w:val="20"/>
        </w:rPr>
        <w:lastRenderedPageBreak/>
        <w:t xml:space="preserve">7.16. Havendo a efetiva execução do objeto, os pagamentos serão realizados normalmente, até que se decida pela extinção do contrato, caso o Contratado não regularize sua situação junto ao Sicaf. </w:t>
      </w:r>
    </w:p>
    <w:p w14:paraId="0C8D56FE" w14:textId="77777777" w:rsidR="00F20451" w:rsidRDefault="00F20451" w:rsidP="00F20451">
      <w:pPr>
        <w:spacing w:after="235"/>
        <w:ind w:left="15"/>
      </w:pPr>
      <w:r>
        <w:rPr>
          <w:rFonts w:ascii="Calibri" w:eastAsia="Calibri" w:hAnsi="Calibri" w:cs="Calibri"/>
          <w:sz w:val="18"/>
        </w:rPr>
        <w:t xml:space="preserve"> </w:t>
      </w:r>
    </w:p>
    <w:p w14:paraId="254F1768" w14:textId="77777777" w:rsidR="00F20451" w:rsidRPr="00CD5F87" w:rsidRDefault="00F20451" w:rsidP="00CD5F87">
      <w:pPr>
        <w:spacing w:after="212" w:line="283" w:lineRule="auto"/>
        <w:ind w:left="10" w:hanging="10"/>
        <w:jc w:val="both"/>
        <w:rPr>
          <w:rFonts w:ascii="Calibri" w:eastAsia="Calibri" w:hAnsi="Calibri" w:cs="Calibri"/>
          <w:b/>
          <w:sz w:val="20"/>
        </w:rPr>
      </w:pPr>
      <w:r w:rsidRPr="00CD5F87">
        <w:rPr>
          <w:rFonts w:ascii="Calibri" w:eastAsia="Calibri" w:hAnsi="Calibri" w:cs="Calibri"/>
          <w:b/>
          <w:sz w:val="20"/>
        </w:rPr>
        <w:t>Prazo de pagamento</w:t>
      </w:r>
    </w:p>
    <w:p w14:paraId="6641AF0B" w14:textId="77777777" w:rsidR="00F20451" w:rsidRPr="00CD5F87" w:rsidRDefault="00F20451" w:rsidP="00F20451">
      <w:pPr>
        <w:spacing w:after="212" w:line="283" w:lineRule="auto"/>
        <w:ind w:left="10" w:hanging="10"/>
        <w:jc w:val="both"/>
        <w:rPr>
          <w:rFonts w:ascii="Calibri" w:eastAsia="Calibri" w:hAnsi="Calibri" w:cs="Calibri"/>
          <w:sz w:val="20"/>
        </w:rPr>
      </w:pPr>
      <w:r w:rsidRPr="00CD5F87">
        <w:rPr>
          <w:rFonts w:ascii="Calibri" w:eastAsia="Calibri" w:hAnsi="Calibri" w:cs="Calibri"/>
          <w:sz w:val="20"/>
        </w:rPr>
        <w:t>7.17. O pagamento será efetuado no prazo de 30 (trinta) dias, contados da apresentação da nota fiscal ou documento de cobrança equivalente, desde que tenha sido finalizada a liquidação da despesa, conforme seção anterior, nos termos do art. 2º, II, do Decreto estadual nº 67.608, de 2023.</w:t>
      </w:r>
    </w:p>
    <w:p w14:paraId="00E53708" w14:textId="77777777" w:rsidR="00F20451" w:rsidRDefault="00F20451" w:rsidP="00F20451">
      <w:pPr>
        <w:spacing w:after="159" w:line="283" w:lineRule="auto"/>
        <w:ind w:left="10" w:right="127" w:hanging="10"/>
        <w:jc w:val="both"/>
      </w:pPr>
      <w:r w:rsidRPr="00CD5F87">
        <w:rPr>
          <w:rFonts w:ascii="Calibri" w:eastAsia="Calibri" w:hAnsi="Calibri" w:cs="Calibri"/>
          <w:sz w:val="20"/>
        </w:rPr>
        <w:t>7.18. No caso de atraso pelo Contratante, os valores devidos ao contratado serão atualizados monetariamente na forma da legislação aplicável (artigo 2º, inciso III, do Decreto estadual nº 67.608, de 2023, c/c o artigo 1º do Decreto estadual nº 32.117, de 1990), bem como incidirão juros moratórios, a razão de 0,5% (meio por cento) ao mês, calculados pro rata temporis, em relação ao atraso verificado</w:t>
      </w:r>
      <w:r>
        <w:rPr>
          <w:rFonts w:ascii="Arial" w:eastAsia="Arial" w:hAnsi="Arial" w:cs="Arial"/>
          <w:sz w:val="20"/>
        </w:rPr>
        <w:t>.</w:t>
      </w:r>
    </w:p>
    <w:p w14:paraId="747CCEF2" w14:textId="77777777" w:rsidR="00F20451" w:rsidRDefault="00F20451" w:rsidP="00F20451">
      <w:pPr>
        <w:spacing w:after="226"/>
        <w:ind w:left="15"/>
      </w:pPr>
      <w:r>
        <w:rPr>
          <w:rFonts w:ascii="Calibri" w:eastAsia="Calibri" w:hAnsi="Calibri" w:cs="Calibri"/>
          <w:b/>
          <w:sz w:val="18"/>
        </w:rPr>
        <w:t xml:space="preserve"> </w:t>
      </w:r>
    </w:p>
    <w:p w14:paraId="731C1E16" w14:textId="77777777" w:rsidR="00F20451" w:rsidRPr="00CD5F87" w:rsidRDefault="00F20451" w:rsidP="00CD5F87">
      <w:pPr>
        <w:spacing w:after="212" w:line="283" w:lineRule="auto"/>
        <w:ind w:left="10" w:hanging="10"/>
        <w:jc w:val="both"/>
        <w:rPr>
          <w:rFonts w:ascii="Calibri" w:eastAsia="Calibri" w:hAnsi="Calibri" w:cs="Calibri"/>
          <w:b/>
          <w:sz w:val="20"/>
        </w:rPr>
      </w:pPr>
      <w:r w:rsidRPr="00CD5F87">
        <w:rPr>
          <w:rFonts w:ascii="Calibri" w:eastAsia="Calibri" w:hAnsi="Calibri" w:cs="Calibri"/>
          <w:b/>
          <w:sz w:val="20"/>
        </w:rPr>
        <w:t>Forma de pagamento</w:t>
      </w:r>
    </w:p>
    <w:p w14:paraId="18BB2742" w14:textId="77777777" w:rsidR="00F20451" w:rsidRPr="00CD5F87" w:rsidRDefault="00F20451" w:rsidP="00F20451">
      <w:pPr>
        <w:spacing w:after="212" w:line="283" w:lineRule="auto"/>
        <w:ind w:left="10" w:hanging="10"/>
        <w:jc w:val="both"/>
        <w:rPr>
          <w:rFonts w:ascii="Calibri" w:eastAsia="Calibri" w:hAnsi="Calibri" w:cs="Calibri"/>
          <w:sz w:val="20"/>
        </w:rPr>
      </w:pPr>
      <w:r w:rsidRPr="00CD5F87">
        <w:rPr>
          <w:rFonts w:ascii="Calibri" w:eastAsia="Calibri" w:hAnsi="Calibri" w:cs="Calibri"/>
          <w:sz w:val="20"/>
        </w:rPr>
        <w:t>7.19. O pagamento será realizado por meio de ordem bancária, para depósito em conta corrente bancária em nome do Contratado no Banco do Brasil S/A.</w:t>
      </w:r>
    </w:p>
    <w:p w14:paraId="5EDDCCCA" w14:textId="77777777" w:rsidR="00F20451" w:rsidRPr="00CD5F87" w:rsidRDefault="00F20451" w:rsidP="00CD5F87">
      <w:pPr>
        <w:spacing w:after="212" w:line="283" w:lineRule="auto"/>
        <w:ind w:left="10" w:hanging="10"/>
        <w:jc w:val="both"/>
        <w:rPr>
          <w:rFonts w:ascii="Calibri" w:eastAsia="Calibri" w:hAnsi="Calibri" w:cs="Calibri"/>
          <w:sz w:val="20"/>
        </w:rPr>
      </w:pPr>
      <w:r w:rsidRPr="00CD5F87">
        <w:rPr>
          <w:rFonts w:ascii="Calibri" w:eastAsia="Calibri" w:hAnsi="Calibri" w:cs="Calibri"/>
          <w:sz w:val="20"/>
        </w:rPr>
        <w:t>7.19.1. Constitui condição para a realização dos pagamentos a inexistência de registros em nome do contratado no “Cadastro Informativo dos Créditos não Quitados de Órgãos e Entidades Estaduais– CADIN ESTADUAL”, o qual deverá ser consultado por ocasião da realização de cada pagamento. O cumprimento desta condição poderá se dar pela comprovação, pelo contratado, de que os registros estão suspensos, nos termos do artigo 8º da Lei estadual nº 12.799, de 2008.</w:t>
      </w:r>
    </w:p>
    <w:p w14:paraId="7E065BF6" w14:textId="77777777" w:rsidR="00F20451" w:rsidRPr="00CD5F87" w:rsidRDefault="00F20451" w:rsidP="00F20451">
      <w:pPr>
        <w:spacing w:after="212" w:line="283" w:lineRule="auto"/>
        <w:ind w:left="10" w:hanging="10"/>
        <w:jc w:val="both"/>
        <w:rPr>
          <w:rFonts w:ascii="Calibri" w:eastAsia="Calibri" w:hAnsi="Calibri" w:cs="Calibri"/>
          <w:sz w:val="20"/>
        </w:rPr>
      </w:pPr>
      <w:r w:rsidRPr="00CD5F87">
        <w:rPr>
          <w:rFonts w:ascii="Calibri" w:eastAsia="Calibri" w:hAnsi="Calibri" w:cs="Calibri"/>
          <w:sz w:val="20"/>
        </w:rPr>
        <w:t>7.20. Será considerada data do pagamento o dia em que constar como emitida a ordem bancária para pagamento.</w:t>
      </w:r>
    </w:p>
    <w:p w14:paraId="5502F2DD" w14:textId="77777777" w:rsidR="00F20451" w:rsidRPr="00CD5F87" w:rsidRDefault="00F20451" w:rsidP="00F20451">
      <w:pPr>
        <w:spacing w:after="212" w:line="283" w:lineRule="auto"/>
        <w:ind w:left="10" w:hanging="10"/>
        <w:jc w:val="both"/>
        <w:rPr>
          <w:rFonts w:ascii="Calibri" w:eastAsia="Calibri" w:hAnsi="Calibri" w:cs="Calibri"/>
          <w:sz w:val="20"/>
        </w:rPr>
      </w:pPr>
      <w:r w:rsidRPr="00CD5F87">
        <w:rPr>
          <w:rFonts w:ascii="Calibri" w:eastAsia="Calibri" w:hAnsi="Calibri" w:cs="Calibri"/>
          <w:sz w:val="20"/>
        </w:rPr>
        <w:t>7.21. O Contratante poderá, por ocasião do pagamento, efetuar a retenção de tributos determinada por lei, ainda que não haja indicação de retenção na nota fiscal apresentada ou que se refira a retenções não realizadas em meses anteriores.</w:t>
      </w:r>
    </w:p>
    <w:p w14:paraId="6D2BE3EC" w14:textId="77777777" w:rsidR="00F20451" w:rsidRPr="00CD5F87" w:rsidRDefault="00F20451" w:rsidP="00F20451">
      <w:pPr>
        <w:spacing w:after="212" w:line="283" w:lineRule="auto"/>
        <w:ind w:left="10" w:hanging="10"/>
        <w:jc w:val="both"/>
        <w:rPr>
          <w:rFonts w:ascii="Calibri" w:eastAsia="Calibri" w:hAnsi="Calibri" w:cs="Calibri"/>
          <w:sz w:val="20"/>
        </w:rPr>
      </w:pPr>
      <w:r w:rsidRPr="00CD5F87">
        <w:rPr>
          <w:rFonts w:ascii="Calibri" w:eastAsia="Calibri" w:hAnsi="Calibri" w:cs="Calibri"/>
          <w:sz w:val="20"/>
        </w:rPr>
        <w:t>7.21.1. Independentemente do percentual de tributo inserido na planilha, quando houver, serão retidos na fonte, quando da realização do pagamento, os percentuais estabelecidos na legislação vigente.</w:t>
      </w:r>
    </w:p>
    <w:p w14:paraId="47D3B431" w14:textId="77777777" w:rsidR="00F20451" w:rsidRPr="00CD5F87" w:rsidRDefault="00F20451" w:rsidP="00CD5F87">
      <w:pPr>
        <w:spacing w:after="212" w:line="283" w:lineRule="auto"/>
        <w:ind w:left="10" w:hanging="10"/>
        <w:jc w:val="both"/>
        <w:rPr>
          <w:rFonts w:ascii="Calibri" w:eastAsia="Calibri" w:hAnsi="Calibri" w:cs="Calibri"/>
          <w:sz w:val="20"/>
        </w:rPr>
      </w:pPr>
      <w:r w:rsidRPr="00CD5F87">
        <w:rPr>
          <w:rFonts w:ascii="Calibri" w:eastAsia="Calibri" w:hAnsi="Calibri" w:cs="Calibri"/>
          <w:sz w:val="20"/>
        </w:rPr>
        <w:t>7.22. O contratado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1FB4A587" w14:textId="77777777" w:rsidR="00F20451" w:rsidRPr="00CD5F87" w:rsidRDefault="00F20451" w:rsidP="00CD5F87">
      <w:pPr>
        <w:spacing w:after="212" w:line="283" w:lineRule="auto"/>
        <w:ind w:left="10" w:hanging="10"/>
        <w:jc w:val="both"/>
        <w:rPr>
          <w:rFonts w:ascii="Calibri" w:eastAsia="Calibri" w:hAnsi="Calibri" w:cs="Calibri"/>
          <w:sz w:val="20"/>
        </w:rPr>
      </w:pPr>
      <w:r w:rsidRPr="00CD5F87">
        <w:rPr>
          <w:rFonts w:ascii="Calibri" w:eastAsia="Calibri" w:hAnsi="Calibri" w:cs="Calibri"/>
          <w:sz w:val="20"/>
        </w:rPr>
        <w:t xml:space="preserve"> </w:t>
      </w:r>
    </w:p>
    <w:p w14:paraId="703EEAD5" w14:textId="77777777" w:rsidR="00F20451" w:rsidRPr="00CD5F87" w:rsidRDefault="00F20451" w:rsidP="00CD5F87">
      <w:pPr>
        <w:spacing w:after="212" w:line="283" w:lineRule="auto"/>
        <w:ind w:left="10" w:hanging="10"/>
        <w:jc w:val="both"/>
        <w:rPr>
          <w:rFonts w:ascii="Calibri" w:eastAsia="Calibri" w:hAnsi="Calibri" w:cs="Calibri"/>
          <w:sz w:val="20"/>
        </w:rPr>
      </w:pPr>
      <w:r w:rsidRPr="00CD5F87">
        <w:rPr>
          <w:rFonts w:ascii="Calibri" w:eastAsia="Calibri" w:hAnsi="Calibri" w:cs="Calibri"/>
          <w:sz w:val="20"/>
        </w:rPr>
        <w:t xml:space="preserve"> </w:t>
      </w:r>
    </w:p>
    <w:p w14:paraId="38C3CF76" w14:textId="77777777" w:rsidR="00F20451" w:rsidRDefault="00F20451" w:rsidP="00F20451">
      <w:pPr>
        <w:spacing w:after="198"/>
        <w:ind w:left="-5" w:hanging="10"/>
      </w:pPr>
      <w:r>
        <w:rPr>
          <w:rFonts w:ascii="Calibri" w:eastAsia="Calibri" w:hAnsi="Calibri" w:cs="Calibri"/>
          <w:b/>
          <w:sz w:val="18"/>
        </w:rPr>
        <w:t>8. FORMA E CRITÉRIOS DE SELEÇÃO DO FORNECEDOR E FORMA DE FORNECIMENTO</w:t>
      </w:r>
    </w:p>
    <w:p w14:paraId="4AFAB2DD" w14:textId="77777777" w:rsidR="00F20451" w:rsidRDefault="00F20451" w:rsidP="00F20451">
      <w:pPr>
        <w:pStyle w:val="Ttulo5"/>
        <w:ind w:left="-5"/>
      </w:pPr>
      <w:r>
        <w:t>Forma de seleção e critério de julgamento da proposta</w:t>
      </w:r>
    </w:p>
    <w:p w14:paraId="0EACAFB1" w14:textId="77777777" w:rsidR="00F20451" w:rsidRDefault="00F20451" w:rsidP="00F20451">
      <w:pPr>
        <w:spacing w:after="197" w:line="262" w:lineRule="auto"/>
        <w:ind w:left="-5" w:hanging="10"/>
        <w:jc w:val="both"/>
      </w:pPr>
      <w:r>
        <w:rPr>
          <w:rFonts w:ascii="Calibri" w:eastAsia="Calibri" w:hAnsi="Calibri" w:cs="Calibri"/>
          <w:sz w:val="18"/>
        </w:rPr>
        <w:t>8.1.</w:t>
      </w:r>
      <w:r>
        <w:rPr>
          <w:rFonts w:ascii="Calibri" w:eastAsia="Calibri" w:hAnsi="Calibri" w:cs="Calibri"/>
          <w:b/>
          <w:sz w:val="18"/>
        </w:rPr>
        <w:t xml:space="preserve"> </w:t>
      </w:r>
      <w:r>
        <w:rPr>
          <w:rFonts w:ascii="Calibri" w:eastAsia="Calibri" w:hAnsi="Calibri" w:cs="Calibri"/>
          <w:sz w:val="18"/>
        </w:rPr>
        <w:t>O fornecedor será selecionado por meio da realização de procedimento de LICITAÇÃO, na modalidade PREGÃO, sob a forma ELETRÔNICA, com adoção do critério de julgamento pelo MENOR PREÇO.</w:t>
      </w:r>
    </w:p>
    <w:p w14:paraId="11DCBFE4" w14:textId="77777777" w:rsidR="00F20451" w:rsidRDefault="00F20451" w:rsidP="00F20451">
      <w:pPr>
        <w:spacing w:after="198"/>
        <w:ind w:left="-5" w:hanging="10"/>
      </w:pPr>
      <w:r>
        <w:rPr>
          <w:rFonts w:ascii="Calibri" w:eastAsia="Calibri" w:hAnsi="Calibri" w:cs="Calibri"/>
          <w:b/>
          <w:sz w:val="18"/>
        </w:rPr>
        <w:t>Forma de fornecimento</w:t>
      </w:r>
    </w:p>
    <w:p w14:paraId="5CBA5635" w14:textId="77777777" w:rsidR="00F20451" w:rsidRDefault="00F20451" w:rsidP="00F20451">
      <w:pPr>
        <w:spacing w:after="197" w:line="262" w:lineRule="auto"/>
        <w:ind w:left="-5" w:hanging="10"/>
        <w:jc w:val="both"/>
      </w:pPr>
      <w:r>
        <w:rPr>
          <w:rFonts w:ascii="Calibri" w:eastAsia="Calibri" w:hAnsi="Calibri" w:cs="Calibri"/>
          <w:sz w:val="18"/>
        </w:rPr>
        <w:t>8.2. O fornecimento do objeto será por item</w:t>
      </w:r>
    </w:p>
    <w:p w14:paraId="738A1AEC" w14:textId="77777777" w:rsidR="00F20451" w:rsidRDefault="00F20451" w:rsidP="00F20451">
      <w:pPr>
        <w:pStyle w:val="Ttulo5"/>
        <w:ind w:left="-5"/>
      </w:pPr>
      <w:r>
        <w:lastRenderedPageBreak/>
        <w:t>Exigências de habilitação</w:t>
      </w:r>
    </w:p>
    <w:p w14:paraId="1437D09D" w14:textId="77777777" w:rsidR="00F20451" w:rsidRDefault="00F20451" w:rsidP="00F20451">
      <w:pPr>
        <w:spacing w:after="197" w:line="262" w:lineRule="auto"/>
        <w:ind w:left="-5" w:hanging="10"/>
        <w:jc w:val="both"/>
      </w:pPr>
      <w:r>
        <w:rPr>
          <w:rFonts w:ascii="Calibri" w:eastAsia="Calibri" w:hAnsi="Calibri" w:cs="Calibri"/>
          <w:sz w:val="18"/>
        </w:rPr>
        <w:t>8.3 Para fins de habilitação, deverá o licitante comprovar os seguintes requisitos das seções subsequentes deste item 8, que serão exigidos conforme sua natureza jurídica:</w:t>
      </w:r>
    </w:p>
    <w:p w14:paraId="3C4ADAB2" w14:textId="77777777" w:rsidR="00F20451" w:rsidRDefault="00F20451" w:rsidP="00F20451">
      <w:pPr>
        <w:pStyle w:val="Ttulo5"/>
        <w:ind w:left="-5"/>
      </w:pPr>
      <w:r>
        <w:t>Habilitação Jurídica</w:t>
      </w:r>
    </w:p>
    <w:p w14:paraId="1EB4B954" w14:textId="77777777" w:rsidR="00F20451" w:rsidRDefault="00F20451" w:rsidP="00F20451">
      <w:pPr>
        <w:spacing w:after="197" w:line="262" w:lineRule="auto"/>
        <w:ind w:left="-5" w:hanging="10"/>
        <w:jc w:val="both"/>
      </w:pPr>
      <w:r>
        <w:rPr>
          <w:rFonts w:ascii="Calibri" w:eastAsia="Calibri" w:hAnsi="Calibri" w:cs="Calibri"/>
          <w:sz w:val="18"/>
        </w:rPr>
        <w:t>8.4.</w:t>
      </w:r>
      <w:r>
        <w:rPr>
          <w:rFonts w:ascii="Calibri" w:eastAsia="Calibri" w:hAnsi="Calibri" w:cs="Calibri"/>
          <w:b/>
          <w:sz w:val="18"/>
        </w:rPr>
        <w:t xml:space="preserve"> Empresário individual:</w:t>
      </w:r>
      <w:r>
        <w:rPr>
          <w:rFonts w:ascii="Calibri" w:eastAsia="Calibri" w:hAnsi="Calibri" w:cs="Calibri"/>
          <w:sz w:val="18"/>
        </w:rPr>
        <w:t xml:space="preserve"> inscrição no Registro Público de Empresas Mercantis, a cargo da Junta Comercial da respectiva sede;  </w:t>
      </w:r>
    </w:p>
    <w:p w14:paraId="16369D1E" w14:textId="77777777" w:rsidR="00F20451" w:rsidRDefault="00F20451" w:rsidP="00F20451">
      <w:pPr>
        <w:spacing w:after="197" w:line="262" w:lineRule="auto"/>
        <w:ind w:left="-5" w:hanging="10"/>
        <w:jc w:val="both"/>
      </w:pPr>
      <w:r>
        <w:rPr>
          <w:rFonts w:ascii="Calibri" w:eastAsia="Calibri" w:hAnsi="Calibri" w:cs="Calibri"/>
          <w:sz w:val="18"/>
        </w:rPr>
        <w:t xml:space="preserve">8.5. </w:t>
      </w:r>
      <w:r>
        <w:rPr>
          <w:rFonts w:ascii="Calibri" w:eastAsia="Calibri" w:hAnsi="Calibri" w:cs="Calibri"/>
          <w:b/>
          <w:sz w:val="18"/>
        </w:rPr>
        <w:t>Sociedade empresária, sociedade limitada unipessoal – SLU ou sociedade identificada como empresa individual de responsabilidade limitada - EIRELI</w:t>
      </w:r>
      <w:r>
        <w:rPr>
          <w:rFonts w:ascii="Calibri" w:eastAsia="Calibri" w:hAnsi="Calibri" w:cs="Calibri"/>
          <w:sz w:val="18"/>
        </w:rPr>
        <w:t xml:space="preserve">: inscrição do ato constitutivo, estatuto ou contrato social no Registro Público de Empresas Mercantis, a cargo da Junta Comercial da respectiva sede, acompanhada de documento comprobatório de seus administradores;   </w:t>
      </w:r>
    </w:p>
    <w:p w14:paraId="483633F5" w14:textId="77777777" w:rsidR="00F20451" w:rsidRDefault="00F20451" w:rsidP="00F20451">
      <w:pPr>
        <w:spacing w:after="0" w:line="262" w:lineRule="auto"/>
        <w:ind w:left="-5" w:hanging="10"/>
        <w:jc w:val="both"/>
      </w:pPr>
      <w:r>
        <w:rPr>
          <w:rFonts w:ascii="Calibri" w:eastAsia="Calibri" w:hAnsi="Calibri" w:cs="Calibri"/>
          <w:sz w:val="18"/>
        </w:rPr>
        <w:t>8.6.</w:t>
      </w:r>
      <w:r>
        <w:rPr>
          <w:rFonts w:ascii="Calibri" w:eastAsia="Calibri" w:hAnsi="Calibri" w:cs="Calibri"/>
          <w:b/>
          <w:sz w:val="18"/>
        </w:rPr>
        <w:t xml:space="preserve"> Sociedade empresária estrangeira:</w:t>
      </w:r>
      <w:r>
        <w:rPr>
          <w:rFonts w:ascii="Calibri" w:eastAsia="Calibri" w:hAnsi="Calibri" w:cs="Calibri"/>
          <w:sz w:val="18"/>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w:t>
      </w:r>
    </w:p>
    <w:p w14:paraId="62741059" w14:textId="77777777" w:rsidR="00F20451" w:rsidRDefault="00F20451" w:rsidP="00F20451">
      <w:pPr>
        <w:spacing w:after="200"/>
      </w:pPr>
      <w:r>
        <w:rPr>
          <w:rFonts w:ascii="Calibri" w:eastAsia="Calibri" w:hAnsi="Calibri" w:cs="Calibri"/>
          <w:sz w:val="18"/>
        </w:rPr>
        <w:t xml:space="preserve">Instrução </w:t>
      </w:r>
      <w:r>
        <w:rPr>
          <w:rFonts w:ascii="Calibri" w:eastAsia="Calibri" w:hAnsi="Calibri" w:cs="Calibri"/>
          <w:sz w:val="18"/>
          <w:u w:val="single" w:color="000000"/>
        </w:rPr>
        <w:t>Normativa DREI/ME n.º 77, de 18 de março de 2020</w:t>
      </w:r>
      <w:r>
        <w:rPr>
          <w:rFonts w:ascii="Calibri" w:eastAsia="Calibri" w:hAnsi="Calibri" w:cs="Calibri"/>
          <w:sz w:val="18"/>
        </w:rPr>
        <w:t xml:space="preserve">.    </w:t>
      </w:r>
    </w:p>
    <w:p w14:paraId="19A41813" w14:textId="77777777" w:rsidR="00F20451" w:rsidRDefault="00F20451" w:rsidP="00F20451">
      <w:pPr>
        <w:spacing w:after="197" w:line="262" w:lineRule="auto"/>
        <w:ind w:left="-5" w:hanging="10"/>
        <w:jc w:val="both"/>
      </w:pPr>
      <w:r>
        <w:rPr>
          <w:rFonts w:ascii="Calibri" w:eastAsia="Calibri" w:hAnsi="Calibri" w:cs="Calibri"/>
          <w:sz w:val="18"/>
        </w:rPr>
        <w:t>8.7.</w:t>
      </w:r>
      <w:r>
        <w:rPr>
          <w:rFonts w:ascii="Calibri" w:eastAsia="Calibri" w:hAnsi="Calibri" w:cs="Calibri"/>
          <w:b/>
          <w:sz w:val="18"/>
        </w:rPr>
        <w:t xml:space="preserve"> Sociedade simples: </w:t>
      </w:r>
      <w:r>
        <w:rPr>
          <w:rFonts w:ascii="Calibri" w:eastAsia="Calibri" w:hAnsi="Calibri" w:cs="Calibri"/>
          <w:sz w:val="18"/>
        </w:rPr>
        <w:t xml:space="preserve">inscrição do ato constitutivo no Registro Civil de Pessoas Jurídicas do local de sua sede, acompanhada de documento comprobatório de seus administradores;  </w:t>
      </w:r>
    </w:p>
    <w:p w14:paraId="473C6067" w14:textId="77777777" w:rsidR="00F20451" w:rsidRDefault="00F20451" w:rsidP="00F20451">
      <w:pPr>
        <w:spacing w:after="0" w:line="262" w:lineRule="auto"/>
        <w:ind w:left="-5" w:hanging="10"/>
        <w:jc w:val="both"/>
      </w:pPr>
      <w:r>
        <w:rPr>
          <w:rFonts w:ascii="Calibri" w:eastAsia="Calibri" w:hAnsi="Calibri" w:cs="Calibri"/>
          <w:sz w:val="18"/>
        </w:rPr>
        <w:t>8.8.</w:t>
      </w:r>
      <w:r>
        <w:rPr>
          <w:rFonts w:ascii="Calibri" w:eastAsia="Calibri" w:hAnsi="Calibri" w:cs="Calibri"/>
          <w:b/>
          <w:sz w:val="18"/>
        </w:rPr>
        <w:t xml:space="preserve"> Filial, sucursal ou agência de sociedade simples ou empresária:</w:t>
      </w:r>
      <w:r>
        <w:rPr>
          <w:rFonts w:ascii="Calibri" w:eastAsia="Calibri" w:hAnsi="Calibri" w:cs="Calibri"/>
          <w:sz w:val="18"/>
        </w:rPr>
        <w:t xml:space="preserve"> inscrição do ato constitutivo da filial, sucursal ou agência da sociedade simples ou empresária, respectivamente, no Registro Civil das Pessoas Jurídicas ou no Registro Público de Empresas Mercantis onde opera, com averbação no</w:t>
      </w:r>
    </w:p>
    <w:p w14:paraId="724B1E8A" w14:textId="77777777" w:rsidR="00F20451" w:rsidRDefault="00F20451" w:rsidP="00F20451">
      <w:pPr>
        <w:spacing w:after="197" w:line="262" w:lineRule="auto"/>
        <w:ind w:left="-5" w:hanging="10"/>
        <w:jc w:val="both"/>
      </w:pPr>
      <w:r>
        <w:rPr>
          <w:rFonts w:ascii="Calibri" w:eastAsia="Calibri" w:hAnsi="Calibri" w:cs="Calibri"/>
          <w:sz w:val="18"/>
        </w:rPr>
        <w:t xml:space="preserve">Registro onde tem sede a matriz </w:t>
      </w:r>
    </w:p>
    <w:p w14:paraId="46DF8D24" w14:textId="77777777" w:rsidR="00F20451" w:rsidRDefault="00F20451" w:rsidP="00F20451">
      <w:pPr>
        <w:spacing w:after="197" w:line="262" w:lineRule="auto"/>
        <w:ind w:left="-5" w:hanging="10"/>
        <w:jc w:val="both"/>
      </w:pPr>
      <w:r>
        <w:rPr>
          <w:rFonts w:ascii="Calibri" w:eastAsia="Calibri" w:hAnsi="Calibri" w:cs="Calibri"/>
          <w:sz w:val="18"/>
        </w:rPr>
        <w:t>8.9.</w:t>
      </w:r>
      <w:r>
        <w:rPr>
          <w:rFonts w:ascii="Calibri" w:eastAsia="Calibri" w:hAnsi="Calibri" w:cs="Calibri"/>
          <w:b/>
          <w:sz w:val="18"/>
        </w:rPr>
        <w:t xml:space="preserve"> Sociedade cooperativa:</w:t>
      </w:r>
      <w:r>
        <w:rPr>
          <w:rFonts w:ascii="Calibri" w:eastAsia="Calibri" w:hAnsi="Calibri" w:cs="Calibri"/>
          <w:sz w:val="18"/>
        </w:rPr>
        <w:t xml:space="preserve"> ata de fundação e estatuto social, com a ata da assembleia que o aprovou, devidamente arquivado na Junta Comercial, devendo o estatuto estar adequado à Lei federal nº 12.690/2012; documentos de eleição ou designação dos atuais administradores; e registro perante a entidade estadual da Organização das Cooperativas Brasileiras de que trata o </w:t>
      </w:r>
      <w:r>
        <w:rPr>
          <w:rFonts w:ascii="Calibri" w:eastAsia="Calibri" w:hAnsi="Calibri" w:cs="Calibri"/>
          <w:sz w:val="18"/>
          <w:u w:val="single" w:color="000000"/>
        </w:rPr>
        <w:t>art. 107 da Lei nº 5.764, de 16 de dezembro 1971</w:t>
      </w:r>
      <w:r>
        <w:rPr>
          <w:rFonts w:ascii="Calibri" w:eastAsia="Calibri" w:hAnsi="Calibri" w:cs="Calibri"/>
          <w:sz w:val="18"/>
        </w:rPr>
        <w:t xml:space="preserve">. </w:t>
      </w:r>
    </w:p>
    <w:p w14:paraId="09368568" w14:textId="77777777" w:rsidR="00F20451" w:rsidRDefault="00F20451" w:rsidP="00F20451">
      <w:pPr>
        <w:spacing w:after="201"/>
      </w:pPr>
      <w:r>
        <w:rPr>
          <w:rFonts w:ascii="Calibri" w:eastAsia="Calibri" w:hAnsi="Calibri" w:cs="Calibri"/>
          <w:sz w:val="18"/>
        </w:rPr>
        <w:t xml:space="preserve"> </w:t>
      </w:r>
    </w:p>
    <w:p w14:paraId="0BA8ACC5" w14:textId="77777777" w:rsidR="00F20451" w:rsidRDefault="00F20451" w:rsidP="00F20451">
      <w:pPr>
        <w:spacing w:after="198"/>
        <w:ind w:left="-5" w:hanging="10"/>
      </w:pPr>
      <w:r>
        <w:rPr>
          <w:rFonts w:ascii="Calibri" w:eastAsia="Calibri" w:hAnsi="Calibri" w:cs="Calibri"/>
          <w:b/>
          <w:sz w:val="18"/>
        </w:rPr>
        <w:t>8.10. Ato de autorização para o exercício da atividade de:</w:t>
      </w:r>
    </w:p>
    <w:p w14:paraId="60F8A7B4" w14:textId="77777777" w:rsidR="00F20451" w:rsidRDefault="00F20451" w:rsidP="00F20451">
      <w:pPr>
        <w:spacing w:after="0" w:line="262" w:lineRule="auto"/>
        <w:ind w:left="-5" w:hanging="10"/>
        <w:jc w:val="both"/>
      </w:pPr>
      <w:r>
        <w:rPr>
          <w:rFonts w:ascii="Calibri" w:eastAsia="Calibri" w:hAnsi="Calibri" w:cs="Calibri"/>
          <w:sz w:val="18"/>
        </w:rPr>
        <w:t>8.10.1.  a Autorização de Funcionamento (AFE) vigente, emitida pela ANVISA, para os produtos abrangidos pela RDC nº 16, de 1º de abril de 2014, da</w:t>
      </w:r>
    </w:p>
    <w:p w14:paraId="3E468FB0" w14:textId="77777777" w:rsidR="00F20451" w:rsidRDefault="00F20451" w:rsidP="00F20451">
      <w:pPr>
        <w:spacing w:after="197" w:line="262" w:lineRule="auto"/>
        <w:ind w:left="-5" w:hanging="10"/>
        <w:jc w:val="both"/>
      </w:pPr>
      <w:r>
        <w:rPr>
          <w:rFonts w:ascii="Calibri" w:eastAsia="Calibri" w:hAnsi="Calibri" w:cs="Calibri"/>
          <w:sz w:val="18"/>
        </w:rPr>
        <w:t xml:space="preserve">ANVISA; </w:t>
      </w:r>
    </w:p>
    <w:p w14:paraId="340330F9" w14:textId="77777777" w:rsidR="00F20451" w:rsidRDefault="00F20451" w:rsidP="00F20451">
      <w:pPr>
        <w:spacing w:after="0" w:line="262" w:lineRule="auto"/>
        <w:ind w:left="-5" w:hanging="10"/>
        <w:jc w:val="both"/>
      </w:pPr>
      <w:r>
        <w:rPr>
          <w:rFonts w:ascii="Calibri" w:eastAsia="Calibri" w:hAnsi="Calibri" w:cs="Calibri"/>
          <w:sz w:val="18"/>
        </w:rPr>
        <w:t>8.10.2.    a Autorização de Funcionamento (AE) vigente, emitida pela ANVISA, para os produtos abrangidos pelo art. 3º da RDC nº 16, de 1º de abril de</w:t>
      </w:r>
    </w:p>
    <w:p w14:paraId="797A98B8" w14:textId="77777777" w:rsidR="00F20451" w:rsidRDefault="00F20451" w:rsidP="00F20451">
      <w:pPr>
        <w:spacing w:after="197" w:line="262" w:lineRule="auto"/>
        <w:ind w:left="-5" w:hanging="10"/>
        <w:jc w:val="both"/>
      </w:pPr>
      <w:r>
        <w:rPr>
          <w:rFonts w:ascii="Calibri" w:eastAsia="Calibri" w:hAnsi="Calibri" w:cs="Calibri"/>
          <w:sz w:val="18"/>
        </w:rPr>
        <w:t xml:space="preserve">2014, da ANVISA; </w:t>
      </w:r>
    </w:p>
    <w:p w14:paraId="6F41C9FF" w14:textId="77777777" w:rsidR="00F20451" w:rsidRDefault="00F20451" w:rsidP="00F20451">
      <w:pPr>
        <w:spacing w:after="197" w:line="262" w:lineRule="auto"/>
        <w:ind w:left="-5" w:hanging="10"/>
        <w:jc w:val="both"/>
      </w:pPr>
      <w:r>
        <w:rPr>
          <w:rFonts w:ascii="Calibri" w:eastAsia="Calibri" w:hAnsi="Calibri" w:cs="Calibri"/>
          <w:sz w:val="18"/>
        </w:rPr>
        <w:t>8.10.3. a Licença Sanitária Estadual ou Municipal vigente.</w:t>
      </w:r>
    </w:p>
    <w:p w14:paraId="49EF1EEB" w14:textId="77777777" w:rsidR="00F20451" w:rsidRDefault="00F20451" w:rsidP="00F20451">
      <w:pPr>
        <w:spacing w:after="197" w:line="262" w:lineRule="auto"/>
        <w:ind w:left="-5" w:hanging="10"/>
        <w:jc w:val="both"/>
      </w:pPr>
      <w:r>
        <w:rPr>
          <w:rFonts w:ascii="Calibri" w:eastAsia="Calibri" w:hAnsi="Calibri" w:cs="Calibri"/>
          <w:sz w:val="18"/>
        </w:rPr>
        <w:t>8.11. Os documentos apresentados deverão estar acompanhados de todas as alterações ou da consolidação respectiva.</w:t>
      </w:r>
    </w:p>
    <w:p w14:paraId="7581EAC5" w14:textId="77777777" w:rsidR="00F20451" w:rsidRDefault="00F20451" w:rsidP="00F20451">
      <w:pPr>
        <w:pStyle w:val="Ttulo5"/>
        <w:ind w:left="-5"/>
      </w:pPr>
      <w:r>
        <w:t xml:space="preserve">Habilitação fiscal, social e trabalhista   </w:t>
      </w:r>
    </w:p>
    <w:p w14:paraId="141879C3" w14:textId="77777777" w:rsidR="00F20451" w:rsidRDefault="00F20451" w:rsidP="00F20451">
      <w:pPr>
        <w:spacing w:after="197" w:line="262" w:lineRule="auto"/>
        <w:ind w:left="-5" w:hanging="10"/>
        <w:jc w:val="both"/>
      </w:pPr>
      <w:r>
        <w:rPr>
          <w:rFonts w:ascii="Calibri" w:eastAsia="Calibri" w:hAnsi="Calibri" w:cs="Calibri"/>
          <w:sz w:val="18"/>
        </w:rPr>
        <w:t>8.12. Prova de inscrição no Cadastro Nacional de Pessoas Jurídicas ou no Cadastro de Pessoas Físicas, conforme o caso;</w:t>
      </w:r>
    </w:p>
    <w:p w14:paraId="0A03DA6D" w14:textId="77777777" w:rsidR="00F20451" w:rsidRDefault="00F20451" w:rsidP="00F20451">
      <w:pPr>
        <w:spacing w:after="197" w:line="262" w:lineRule="auto"/>
        <w:ind w:left="-5" w:hanging="10"/>
        <w:jc w:val="both"/>
      </w:pPr>
      <w:r>
        <w:rPr>
          <w:rFonts w:ascii="Calibri" w:eastAsia="Calibri" w:hAnsi="Calibri" w:cs="Calibri"/>
          <w:sz w:val="18"/>
        </w:rPr>
        <w:t xml:space="preserve">8.13. Prova de regularidade fiscal perante a Fazenda Nacional, mediante apresentação de certidão expedida conjuntamente pela Secretaria da Receita Federal do Brasil (RFB) e pela Procuradoria-Geral da Fazenda Nacional (PGFN), referente aos créditos tributários federais e à Dívida Ativa da União (DAU) por elas administrados, inclusive aqueles relativos à Seguridade Social, nos termos da </w:t>
      </w:r>
      <w:r>
        <w:rPr>
          <w:rFonts w:ascii="Calibri" w:eastAsia="Calibri" w:hAnsi="Calibri" w:cs="Calibri"/>
          <w:sz w:val="18"/>
          <w:u w:val="single" w:color="000000"/>
        </w:rPr>
        <w:t>Portaria Conjunta nº 1.751, de 02 de outubro de 201</w:t>
      </w:r>
      <w:r>
        <w:rPr>
          <w:rFonts w:ascii="Calibri" w:eastAsia="Calibri" w:hAnsi="Calibri" w:cs="Calibri"/>
          <w:sz w:val="18"/>
        </w:rPr>
        <w:t>4, do Secretário da Receita Federal do Brasil e da Procuradora-Geral da Fazenda Nacional.</w:t>
      </w:r>
    </w:p>
    <w:p w14:paraId="50DF3DFF" w14:textId="77777777" w:rsidR="00F20451" w:rsidRDefault="00F20451" w:rsidP="00F20451">
      <w:pPr>
        <w:spacing w:after="197" w:line="262" w:lineRule="auto"/>
        <w:ind w:left="-5" w:hanging="10"/>
        <w:jc w:val="both"/>
      </w:pPr>
      <w:r>
        <w:rPr>
          <w:rFonts w:ascii="Calibri" w:eastAsia="Calibri" w:hAnsi="Calibri" w:cs="Calibri"/>
          <w:sz w:val="18"/>
        </w:rPr>
        <w:t>8.14. Prova de regularidade com o Fundo de Garantia do Tempo de Serviço (FGTS);</w:t>
      </w:r>
    </w:p>
    <w:p w14:paraId="1F5A3488" w14:textId="77777777" w:rsidR="00F20451" w:rsidRDefault="00F20451" w:rsidP="00F20451">
      <w:pPr>
        <w:spacing w:after="197" w:line="262" w:lineRule="auto"/>
        <w:ind w:left="-5" w:hanging="10"/>
        <w:jc w:val="both"/>
      </w:pPr>
      <w:r>
        <w:rPr>
          <w:rFonts w:ascii="Calibri" w:eastAsia="Calibri" w:hAnsi="Calibri" w:cs="Calibri"/>
          <w:sz w:val="18"/>
        </w:rPr>
        <w:t xml:space="preserve">8.15. Prova de inexistência de débitos inadimplidos perante a Justiça do Trabalho, mediante a apresentação de certidão negativa ou positiva com efeito de negativa, nos termos do Título VII-A da Consolidação das Leis do Trabalho, aprovada pelo </w:t>
      </w:r>
      <w:r>
        <w:rPr>
          <w:rFonts w:ascii="Calibri" w:eastAsia="Calibri" w:hAnsi="Calibri" w:cs="Calibri"/>
          <w:sz w:val="18"/>
          <w:u w:val="single" w:color="000000"/>
        </w:rPr>
        <w:t>Decreto-Lei nº 5.452, de 1º de maio de 1943</w:t>
      </w:r>
      <w:r>
        <w:rPr>
          <w:rFonts w:ascii="Calibri" w:eastAsia="Calibri" w:hAnsi="Calibri" w:cs="Calibri"/>
          <w:sz w:val="18"/>
        </w:rPr>
        <w:t>;</w:t>
      </w:r>
    </w:p>
    <w:p w14:paraId="629E1787" w14:textId="77777777" w:rsidR="00F20451" w:rsidRDefault="00F20451" w:rsidP="00F20451">
      <w:pPr>
        <w:spacing w:after="197" w:line="262" w:lineRule="auto"/>
        <w:ind w:left="-5" w:hanging="10"/>
        <w:jc w:val="both"/>
      </w:pPr>
      <w:r>
        <w:rPr>
          <w:rFonts w:ascii="Calibri" w:eastAsia="Calibri" w:hAnsi="Calibri" w:cs="Calibri"/>
          <w:sz w:val="18"/>
        </w:rPr>
        <w:t>8.16. Prova de inscrição no cadastro de contribuintes Estadual relativo ao domicílio ou sede do fornecedor, pertinente ao seu ramo de atividade e compatível com o objeto contratual;</w:t>
      </w:r>
    </w:p>
    <w:p w14:paraId="65F972E1" w14:textId="77777777" w:rsidR="00F20451" w:rsidRDefault="00F20451" w:rsidP="00F20451">
      <w:pPr>
        <w:spacing w:after="210" w:line="267" w:lineRule="auto"/>
        <w:ind w:left="10" w:right="19" w:hanging="10"/>
        <w:jc w:val="both"/>
      </w:pPr>
      <w:r>
        <w:rPr>
          <w:rFonts w:ascii="Calibri" w:eastAsia="Calibri" w:hAnsi="Calibri" w:cs="Calibri"/>
          <w:sz w:val="20"/>
        </w:rPr>
        <w:t>8.17. Prova de regularidade com a Fazenda Estadual/Distrital quanto ao Imposto sobre operações relativas à Circulação de Mercadorias e sobre prestações de Serviços de transporte interestadual e intermunicipal e de comunicação - ICMS, do domicílio ou sede do fornecedor, relativa à atividade em cujo exercício contrata ou concorre;</w:t>
      </w:r>
    </w:p>
    <w:p w14:paraId="2DB8FD9A" w14:textId="77777777" w:rsidR="00F20451" w:rsidRDefault="00F20451" w:rsidP="00F20451">
      <w:pPr>
        <w:spacing w:after="210" w:line="267" w:lineRule="auto"/>
        <w:ind w:left="10" w:right="19" w:hanging="10"/>
        <w:jc w:val="both"/>
      </w:pPr>
      <w:r>
        <w:rPr>
          <w:rFonts w:ascii="Calibri" w:eastAsia="Calibri" w:hAnsi="Calibri" w:cs="Calibri"/>
          <w:sz w:val="20"/>
        </w:rPr>
        <w:lastRenderedPageBreak/>
        <w:t>8.18. Caso o fornecedor se considere isento ou imune de tributos relacionados ao objeto contratual, em relação aos quais seja exigida regularidade fiscal neste instrumento, deverá comprovar tal condição mediante a apresentação de declaração da Fazenda respectiva do seu domicílio ou sede, ou outra equivalente, na forma da lei.</w:t>
      </w:r>
    </w:p>
    <w:p w14:paraId="2CE5CAF2" w14:textId="77777777" w:rsidR="00F20451" w:rsidRDefault="00F20451" w:rsidP="00F20451">
      <w:pPr>
        <w:spacing w:after="99" w:line="366" w:lineRule="auto"/>
        <w:ind w:left="-5" w:hanging="10"/>
        <w:jc w:val="both"/>
      </w:pPr>
      <w:r>
        <w:rPr>
          <w:rFonts w:ascii="Calibri" w:eastAsia="Calibri" w:hAnsi="Calibri" w:cs="Calibri"/>
          <w:sz w:val="18"/>
        </w:rPr>
        <w:t xml:space="preserve">8.19. O fornecedor enquadrado como microempreendedor individual que pretenda auferir os benefícios do tratamento diferenciado previstos na Lei Complementar n. 123, de 2006, estará dispensado da prova de inscrição nos cadastros de contribuintes estadual e municipal.    </w:t>
      </w:r>
      <w:r>
        <w:rPr>
          <w:rFonts w:ascii="Calibri" w:eastAsia="Calibri" w:hAnsi="Calibri" w:cs="Calibri"/>
          <w:b/>
          <w:sz w:val="18"/>
        </w:rPr>
        <w:t xml:space="preserve">Qualificação Econômico-Financeira     </w:t>
      </w:r>
    </w:p>
    <w:p w14:paraId="06A78321" w14:textId="77777777" w:rsidR="00F20451" w:rsidRDefault="00F20451" w:rsidP="00F20451">
      <w:pPr>
        <w:spacing w:after="197" w:line="262" w:lineRule="auto"/>
        <w:ind w:left="-5" w:hanging="10"/>
        <w:jc w:val="both"/>
      </w:pPr>
      <w:r>
        <w:rPr>
          <w:rFonts w:ascii="Calibri" w:eastAsia="Calibri" w:hAnsi="Calibri" w:cs="Calibri"/>
          <w:sz w:val="18"/>
        </w:rPr>
        <w:t>8.20. Certidão negativa de insolvência civil expedida pelo distribuidor do domicílio ou sede do licitante, caso se trate de de sociedade simples;</w:t>
      </w:r>
    </w:p>
    <w:p w14:paraId="635E3AF7" w14:textId="77777777" w:rsidR="00F20451" w:rsidRDefault="00F20451" w:rsidP="00F20451">
      <w:pPr>
        <w:spacing w:after="197" w:line="262" w:lineRule="auto"/>
        <w:ind w:left="-5" w:hanging="10"/>
        <w:jc w:val="both"/>
      </w:pPr>
      <w:r>
        <w:rPr>
          <w:rFonts w:ascii="Calibri" w:eastAsia="Calibri" w:hAnsi="Calibri" w:cs="Calibri"/>
          <w:sz w:val="18"/>
        </w:rPr>
        <w:t>8.21. Certidão negativa de falência, recuperação judicial ou extrajudicial, expedida pelo distribuidor da sede do fornecedor, caso se trate de empresário individual ou sociedade empresária;</w:t>
      </w:r>
    </w:p>
    <w:p w14:paraId="3108F57D" w14:textId="77777777" w:rsidR="00F20451" w:rsidRDefault="00F20451" w:rsidP="00F20451">
      <w:pPr>
        <w:spacing w:after="197" w:line="262" w:lineRule="auto"/>
        <w:ind w:left="-5" w:hanging="10"/>
        <w:jc w:val="both"/>
      </w:pPr>
      <w:r>
        <w:rPr>
          <w:rFonts w:ascii="Calibri" w:eastAsia="Calibri" w:hAnsi="Calibri" w:cs="Calibri"/>
          <w:sz w:val="18"/>
        </w:rPr>
        <w:t>8.21.1.. Caso o fornecedor esteja em recuperação judicial ou extrajudicial, deverá ser comprovado o acolhimento do plano de recuperação judicial ou a homologação do plano de recuperação extrajudicial, conforme o caso;</w:t>
      </w:r>
    </w:p>
    <w:p w14:paraId="3FBE9B7F" w14:textId="77777777" w:rsidR="00F20451" w:rsidRDefault="00F20451" w:rsidP="00F20451">
      <w:pPr>
        <w:pStyle w:val="Ttulo5"/>
        <w:spacing w:after="235"/>
        <w:ind w:left="-5"/>
      </w:pPr>
      <w:r>
        <w:t xml:space="preserve">Outras comprovações </w:t>
      </w:r>
    </w:p>
    <w:p w14:paraId="0E601DDF" w14:textId="77777777" w:rsidR="00F20451" w:rsidRPr="00CD5F87" w:rsidRDefault="00F20451" w:rsidP="00CD5F87">
      <w:pPr>
        <w:spacing w:after="197" w:line="262" w:lineRule="auto"/>
        <w:ind w:left="-5" w:hanging="10"/>
        <w:jc w:val="both"/>
        <w:rPr>
          <w:rFonts w:ascii="Calibri" w:eastAsia="Calibri" w:hAnsi="Calibri" w:cs="Calibri"/>
          <w:sz w:val="18"/>
        </w:rPr>
      </w:pPr>
      <w:r w:rsidRPr="00CD5F87">
        <w:rPr>
          <w:rFonts w:ascii="Calibri" w:eastAsia="Calibri" w:hAnsi="Calibri" w:cs="Calibri"/>
          <w:sz w:val="18"/>
        </w:rPr>
        <w:t>8.22. Tratando-se de consórcio, caso admitida a sua participação:</w:t>
      </w:r>
    </w:p>
    <w:p w14:paraId="1866B979" w14:textId="77777777" w:rsidR="00F20451" w:rsidRPr="00CD5F87" w:rsidRDefault="00F20451" w:rsidP="00CD5F87">
      <w:pPr>
        <w:spacing w:after="197" w:line="262" w:lineRule="auto"/>
        <w:ind w:left="-5" w:hanging="10"/>
        <w:jc w:val="both"/>
        <w:rPr>
          <w:rFonts w:ascii="Calibri" w:eastAsia="Calibri" w:hAnsi="Calibri" w:cs="Calibri"/>
          <w:sz w:val="18"/>
        </w:rPr>
      </w:pPr>
      <w:r w:rsidRPr="00CD5F87">
        <w:rPr>
          <w:rFonts w:ascii="Calibri" w:eastAsia="Calibri" w:hAnsi="Calibri" w:cs="Calibri"/>
          <w:sz w:val="18"/>
        </w:rPr>
        <w:t>8.22.1. Apresentação do compromisso público ou particular de constituição do consórcio, subscrito pelos consorciados, o qual deverá incluir, pelo menos, os seguintes elementos:</w:t>
      </w:r>
    </w:p>
    <w:p w14:paraId="37E6190B" w14:textId="77777777" w:rsidR="00F20451" w:rsidRPr="00CD5F87" w:rsidRDefault="00F20451" w:rsidP="00CD5F87">
      <w:pPr>
        <w:spacing w:after="197" w:line="262" w:lineRule="auto"/>
        <w:ind w:left="-5" w:hanging="10"/>
        <w:jc w:val="both"/>
        <w:rPr>
          <w:rFonts w:ascii="Calibri" w:eastAsia="Calibri" w:hAnsi="Calibri" w:cs="Calibri"/>
          <w:sz w:val="18"/>
        </w:rPr>
      </w:pPr>
      <w:r w:rsidRPr="00CD5F87">
        <w:rPr>
          <w:rFonts w:ascii="Calibri" w:eastAsia="Calibri" w:hAnsi="Calibri" w:cs="Calibri"/>
          <w:sz w:val="18"/>
        </w:rPr>
        <w:t>Designação do consórcio e sua composição;</w:t>
      </w:r>
    </w:p>
    <w:p w14:paraId="115B9CC8" w14:textId="77777777" w:rsidR="00F20451" w:rsidRPr="00CD5F87" w:rsidRDefault="00F20451" w:rsidP="00CD5F87">
      <w:pPr>
        <w:spacing w:after="197" w:line="262" w:lineRule="auto"/>
        <w:ind w:left="-5" w:hanging="10"/>
        <w:jc w:val="both"/>
        <w:rPr>
          <w:rFonts w:ascii="Calibri" w:eastAsia="Calibri" w:hAnsi="Calibri" w:cs="Calibri"/>
          <w:sz w:val="18"/>
        </w:rPr>
      </w:pPr>
      <w:r w:rsidRPr="00CD5F87">
        <w:rPr>
          <w:rFonts w:ascii="Calibri" w:eastAsia="Calibri" w:hAnsi="Calibri" w:cs="Calibri"/>
          <w:sz w:val="18"/>
        </w:rPr>
        <w:t>Finalidade do consórcio;</w:t>
      </w:r>
    </w:p>
    <w:p w14:paraId="029A59B6" w14:textId="77777777" w:rsidR="00F20451" w:rsidRPr="00CD5F87" w:rsidRDefault="00F20451" w:rsidP="00CD5F87">
      <w:pPr>
        <w:spacing w:after="197" w:line="262" w:lineRule="auto"/>
        <w:ind w:left="-5" w:hanging="10"/>
        <w:jc w:val="both"/>
        <w:rPr>
          <w:rFonts w:ascii="Calibri" w:eastAsia="Calibri" w:hAnsi="Calibri" w:cs="Calibri"/>
          <w:sz w:val="18"/>
        </w:rPr>
      </w:pPr>
      <w:r w:rsidRPr="00CD5F87">
        <w:rPr>
          <w:rFonts w:ascii="Calibri" w:eastAsia="Calibri" w:hAnsi="Calibri" w:cs="Calibri"/>
          <w:sz w:val="18"/>
        </w:rPr>
        <w:t>Prazo de duração do consórcio, que deve coincidir, no mínimo, com o prazo de vigência contratual;</w:t>
      </w:r>
    </w:p>
    <w:p w14:paraId="76703F4E" w14:textId="77777777" w:rsidR="00F20451" w:rsidRPr="00CD5F87" w:rsidRDefault="00F20451" w:rsidP="00CD5F87">
      <w:pPr>
        <w:spacing w:after="197" w:line="262" w:lineRule="auto"/>
        <w:ind w:left="-5" w:hanging="10"/>
        <w:jc w:val="both"/>
        <w:rPr>
          <w:rFonts w:ascii="Calibri" w:eastAsia="Calibri" w:hAnsi="Calibri" w:cs="Calibri"/>
          <w:sz w:val="18"/>
        </w:rPr>
      </w:pPr>
      <w:r w:rsidRPr="00CD5F87">
        <w:rPr>
          <w:rFonts w:ascii="Calibri" w:eastAsia="Calibri" w:hAnsi="Calibri" w:cs="Calibri"/>
          <w:sz w:val="18"/>
        </w:rPr>
        <w:t>Endereço do consórcio e o foro competente para dirimir eventuais demandas entre os consorciados;</w:t>
      </w:r>
    </w:p>
    <w:p w14:paraId="4B398946" w14:textId="77777777" w:rsidR="00F20451" w:rsidRPr="00CD5F87" w:rsidRDefault="00F20451" w:rsidP="00CD5F87">
      <w:pPr>
        <w:spacing w:after="197" w:line="262" w:lineRule="auto"/>
        <w:ind w:left="-5" w:hanging="10"/>
        <w:jc w:val="both"/>
        <w:rPr>
          <w:rFonts w:ascii="Calibri" w:eastAsia="Calibri" w:hAnsi="Calibri" w:cs="Calibri"/>
          <w:sz w:val="18"/>
        </w:rPr>
      </w:pPr>
      <w:r w:rsidRPr="00CD5F87">
        <w:rPr>
          <w:rFonts w:ascii="Calibri" w:eastAsia="Calibri" w:hAnsi="Calibri" w:cs="Calibri"/>
          <w:sz w:val="18"/>
        </w:rPr>
        <w:t>Definição das obrigações e responsabilidades de cada consorciado e das prestações específicas;</w:t>
      </w:r>
    </w:p>
    <w:p w14:paraId="79542F99" w14:textId="77777777" w:rsidR="00F20451" w:rsidRPr="00CD5F87" w:rsidRDefault="00F20451" w:rsidP="00CD5F87">
      <w:pPr>
        <w:spacing w:after="197" w:line="262" w:lineRule="auto"/>
        <w:ind w:left="-5" w:hanging="10"/>
        <w:jc w:val="both"/>
        <w:rPr>
          <w:rFonts w:ascii="Calibri" w:eastAsia="Calibri" w:hAnsi="Calibri" w:cs="Calibri"/>
          <w:sz w:val="18"/>
        </w:rPr>
      </w:pPr>
      <w:r w:rsidRPr="00CD5F87">
        <w:rPr>
          <w:rFonts w:ascii="Calibri" w:eastAsia="Calibri" w:hAnsi="Calibri" w:cs="Calibri"/>
          <w:sz w:val="18"/>
        </w:rPr>
        <w:t>Previsão de responsabilidade solidária de todos os consorciados pelos atos praticados pelo consórcio, tanto na fase de licitação quanto na de execução do contrato, abrangendo também os encargos fiscais, trabalhistas e administrativos referentes ao objeto da contratação;</w:t>
      </w:r>
    </w:p>
    <w:p w14:paraId="2DB2F360" w14:textId="77777777" w:rsidR="00F20451" w:rsidRPr="00CD5F87" w:rsidRDefault="00F20451" w:rsidP="00CD5F87">
      <w:pPr>
        <w:spacing w:after="197" w:line="262" w:lineRule="auto"/>
        <w:ind w:left="-5" w:hanging="10"/>
        <w:jc w:val="both"/>
        <w:rPr>
          <w:rFonts w:ascii="Calibri" w:eastAsia="Calibri" w:hAnsi="Calibri" w:cs="Calibri"/>
          <w:sz w:val="18"/>
        </w:rPr>
      </w:pPr>
      <w:r w:rsidRPr="00CD5F87">
        <w:rPr>
          <w:rFonts w:ascii="Calibri" w:eastAsia="Calibri" w:hAnsi="Calibri" w:cs="Calibri"/>
          <w:sz w:val="18"/>
        </w:rPr>
        <w:t>Indicação da empresa líder do consórcio e seu respectivo representante legal, que deverá ter poderes para receber citação, interpor e desistir de recursos, firmar a contratação e praticar todos os demais atos necessários à participação na licitação e execução do objeto contratado, sendo responsável pela representação do consórcio perante a Administração;</w:t>
      </w:r>
    </w:p>
    <w:p w14:paraId="452F67D7" w14:textId="77777777" w:rsidR="00F20451" w:rsidRPr="00CD5F87" w:rsidRDefault="00F20451" w:rsidP="00CD5F87">
      <w:pPr>
        <w:spacing w:after="197" w:line="262" w:lineRule="auto"/>
        <w:ind w:left="-5" w:hanging="10"/>
        <w:jc w:val="both"/>
        <w:rPr>
          <w:rFonts w:ascii="Calibri" w:eastAsia="Calibri" w:hAnsi="Calibri" w:cs="Calibri"/>
          <w:sz w:val="18"/>
        </w:rPr>
      </w:pPr>
      <w:r w:rsidRPr="00CD5F87">
        <w:rPr>
          <w:rFonts w:ascii="Calibri" w:eastAsia="Calibri" w:hAnsi="Calibri" w:cs="Calibri"/>
          <w:sz w:val="18"/>
        </w:rPr>
        <w:t>Compromisso subscrito pelas consorciadas de que o consórcio não terá a sua composição modificada sem a prévia e expressa anuência do Contratante até o integral cumprimento do objeto da contratação, observado o prazo de duração do consórcio, definido na alínea “c” deste subitem;</w:t>
      </w:r>
    </w:p>
    <w:p w14:paraId="46AF8543" w14:textId="77777777" w:rsidR="00F20451" w:rsidRPr="00CD5F87" w:rsidRDefault="00F20451" w:rsidP="00CD5F87">
      <w:pPr>
        <w:spacing w:after="197" w:line="262" w:lineRule="auto"/>
        <w:ind w:left="-5" w:hanging="10"/>
        <w:jc w:val="both"/>
        <w:rPr>
          <w:rFonts w:ascii="Calibri" w:eastAsia="Calibri" w:hAnsi="Calibri" w:cs="Calibri"/>
          <w:sz w:val="18"/>
        </w:rPr>
      </w:pPr>
      <w:r w:rsidRPr="00CD5F87">
        <w:rPr>
          <w:rFonts w:ascii="Calibri" w:eastAsia="Calibri" w:hAnsi="Calibri" w:cs="Calibri"/>
          <w:sz w:val="18"/>
        </w:rPr>
        <w:t>8.22.2. O licitante vencedor é obrigado a promover, antes da celebração da contratação, a constituição e o registro do consórcio, nos termos de seu compromisso de constituição.</w:t>
      </w:r>
    </w:p>
    <w:p w14:paraId="5698333B" w14:textId="77777777" w:rsidR="00F20451" w:rsidRPr="00CD5F87" w:rsidRDefault="00F20451" w:rsidP="00CD5F87">
      <w:pPr>
        <w:spacing w:after="197" w:line="262" w:lineRule="auto"/>
        <w:ind w:left="-5" w:hanging="10"/>
        <w:jc w:val="both"/>
        <w:rPr>
          <w:rFonts w:ascii="Calibri" w:eastAsia="Calibri" w:hAnsi="Calibri" w:cs="Calibri"/>
          <w:sz w:val="18"/>
        </w:rPr>
      </w:pPr>
      <w:r w:rsidRPr="00CD5F87">
        <w:rPr>
          <w:rFonts w:ascii="Calibri" w:eastAsia="Calibri" w:hAnsi="Calibri" w:cs="Calibri"/>
          <w:sz w:val="18"/>
        </w:rPr>
        <w:t>8.22.3. Cada consorciado, individualmente, deverá atender as exigências relativas a habilitação jurídica e habilitação fiscal, social e trabalhista, e a certidão negativa de falência/insolvência. Para efeito de habilitação econômico-financeira e de habilitação técnica, quando exigida, será observado o disposto no inciso III do caput do artigo 15 da Lei federal nº</w:t>
      </w:r>
    </w:p>
    <w:p w14:paraId="27F23ABF" w14:textId="77777777" w:rsidR="00F20451" w:rsidRPr="00CD5F87" w:rsidRDefault="00F20451" w:rsidP="00CD5F87">
      <w:pPr>
        <w:spacing w:after="197" w:line="262" w:lineRule="auto"/>
        <w:ind w:left="-5" w:hanging="10"/>
        <w:jc w:val="both"/>
        <w:rPr>
          <w:rFonts w:ascii="Calibri" w:eastAsia="Calibri" w:hAnsi="Calibri" w:cs="Calibri"/>
          <w:sz w:val="18"/>
        </w:rPr>
      </w:pPr>
      <w:r w:rsidRPr="00CD5F87">
        <w:rPr>
          <w:rFonts w:ascii="Calibri" w:eastAsia="Calibri" w:hAnsi="Calibri" w:cs="Calibri"/>
          <w:sz w:val="18"/>
        </w:rPr>
        <w:t>14.133/2021.</w:t>
      </w:r>
    </w:p>
    <w:p w14:paraId="12C482D6" w14:textId="77777777" w:rsidR="00F20451" w:rsidRPr="00CD5F87" w:rsidRDefault="00F20451" w:rsidP="00CD5F87">
      <w:pPr>
        <w:spacing w:after="197" w:line="262" w:lineRule="auto"/>
        <w:ind w:left="-5" w:hanging="10"/>
        <w:jc w:val="both"/>
        <w:rPr>
          <w:rFonts w:ascii="Calibri" w:eastAsia="Calibri" w:hAnsi="Calibri" w:cs="Calibri"/>
          <w:sz w:val="18"/>
        </w:rPr>
      </w:pPr>
      <w:r w:rsidRPr="00CD5F87">
        <w:rPr>
          <w:rFonts w:ascii="Calibri" w:eastAsia="Calibri" w:hAnsi="Calibri" w:cs="Calibri"/>
          <w:sz w:val="18"/>
        </w:rPr>
        <w:t>8.22.4. A inabilitação de qualquer consorciado acarretará a automática inabilitação do consórcio.</w:t>
      </w:r>
    </w:p>
    <w:p w14:paraId="17DC103B" w14:textId="77777777" w:rsidR="00F20451" w:rsidRPr="00CD5F87" w:rsidRDefault="00F20451" w:rsidP="00CD5F87">
      <w:pPr>
        <w:spacing w:after="197" w:line="262" w:lineRule="auto"/>
        <w:ind w:left="-5" w:hanging="10"/>
        <w:jc w:val="both"/>
        <w:rPr>
          <w:rFonts w:ascii="Calibri" w:eastAsia="Calibri" w:hAnsi="Calibri" w:cs="Calibri"/>
          <w:sz w:val="18"/>
        </w:rPr>
      </w:pPr>
      <w:r w:rsidRPr="00CD5F87">
        <w:rPr>
          <w:rFonts w:ascii="Calibri" w:eastAsia="Calibri" w:hAnsi="Calibri" w:cs="Calibri"/>
          <w:sz w:val="18"/>
        </w:rPr>
        <w:t>8.23. Tratando-se de cooperativas, será exigida a seguinte documentação complementar, para evidenciar a observância do disposto no art. 16 da Lei nº 14.133, de 2021:</w:t>
      </w:r>
    </w:p>
    <w:p w14:paraId="70675BA8" w14:textId="77777777" w:rsidR="00F20451" w:rsidRPr="00CD5F87" w:rsidRDefault="00F20451" w:rsidP="00CD5F87">
      <w:pPr>
        <w:spacing w:after="197" w:line="262" w:lineRule="auto"/>
        <w:ind w:left="-5" w:hanging="10"/>
        <w:jc w:val="both"/>
        <w:rPr>
          <w:rFonts w:ascii="Calibri" w:eastAsia="Calibri" w:hAnsi="Calibri" w:cs="Calibri"/>
          <w:sz w:val="18"/>
        </w:rPr>
      </w:pPr>
      <w:r w:rsidRPr="00CD5F87">
        <w:rPr>
          <w:rFonts w:ascii="Calibri" w:eastAsia="Calibri" w:hAnsi="Calibri" w:cs="Calibri"/>
          <w:sz w:val="18"/>
        </w:rPr>
        <w:t>A relação dos cooperados que atendem aos requisitos técnicos exigidos para a contratação e que executarão ocontrato, com as respectivas atas de inscrição, respeitado o disposto nos arts. 4º, inciso XI, 21, inciso I e 42, §§2º a 6º da</w:t>
      </w:r>
    </w:p>
    <w:p w14:paraId="48342D06" w14:textId="77777777" w:rsidR="00F20451" w:rsidRPr="00CD5F87" w:rsidRDefault="00F20451" w:rsidP="00CD5F87">
      <w:pPr>
        <w:spacing w:after="197" w:line="262" w:lineRule="auto"/>
        <w:ind w:left="-5" w:hanging="10"/>
        <w:jc w:val="both"/>
        <w:rPr>
          <w:rFonts w:ascii="Calibri" w:eastAsia="Calibri" w:hAnsi="Calibri" w:cs="Calibri"/>
          <w:sz w:val="18"/>
        </w:rPr>
      </w:pPr>
      <w:r w:rsidRPr="00CD5F87">
        <w:rPr>
          <w:rFonts w:ascii="Calibri" w:eastAsia="Calibri" w:hAnsi="Calibri" w:cs="Calibri"/>
          <w:sz w:val="18"/>
        </w:rPr>
        <w:t>Lei n. 5.764, de 1971;</w:t>
      </w:r>
    </w:p>
    <w:p w14:paraId="14B015BA" w14:textId="77777777" w:rsidR="00F20451" w:rsidRPr="00CD5F87" w:rsidRDefault="00F20451" w:rsidP="00CD5F87">
      <w:pPr>
        <w:spacing w:after="197" w:line="262" w:lineRule="auto"/>
        <w:ind w:left="-5" w:hanging="10"/>
        <w:jc w:val="both"/>
        <w:rPr>
          <w:rFonts w:ascii="Calibri" w:eastAsia="Calibri" w:hAnsi="Calibri" w:cs="Calibri"/>
          <w:sz w:val="18"/>
        </w:rPr>
      </w:pPr>
      <w:r w:rsidRPr="00CD5F87">
        <w:rPr>
          <w:rFonts w:ascii="Calibri" w:eastAsia="Calibri" w:hAnsi="Calibri" w:cs="Calibri"/>
          <w:sz w:val="18"/>
        </w:rPr>
        <w:lastRenderedPageBreak/>
        <w:t>A declaração de regularidade de situação do contribuinte individual – DRSCI, para cada um dos cooperadosindicados;</w:t>
      </w:r>
    </w:p>
    <w:p w14:paraId="423E2C2E" w14:textId="77777777" w:rsidR="00F20451" w:rsidRPr="00CD5F87" w:rsidRDefault="00F20451" w:rsidP="00CD5F87">
      <w:pPr>
        <w:spacing w:after="197" w:line="262" w:lineRule="auto"/>
        <w:ind w:left="-5" w:hanging="10"/>
        <w:jc w:val="both"/>
        <w:rPr>
          <w:rFonts w:ascii="Calibri" w:eastAsia="Calibri" w:hAnsi="Calibri" w:cs="Calibri"/>
          <w:sz w:val="18"/>
        </w:rPr>
      </w:pPr>
      <w:r w:rsidRPr="00CD5F87">
        <w:rPr>
          <w:rFonts w:ascii="Calibri" w:eastAsia="Calibri" w:hAnsi="Calibri" w:cs="Calibri"/>
          <w:sz w:val="18"/>
        </w:rPr>
        <w:t>Regimento dos fundos instituídos pelos cooperados, com a ata da assembleia;</w:t>
      </w:r>
    </w:p>
    <w:p w14:paraId="6631AF9C" w14:textId="77777777" w:rsidR="00F20451" w:rsidRPr="00CD5F87" w:rsidRDefault="00F20451" w:rsidP="00CD5F87">
      <w:pPr>
        <w:spacing w:after="197" w:line="262" w:lineRule="auto"/>
        <w:ind w:left="-5" w:hanging="10"/>
        <w:jc w:val="both"/>
        <w:rPr>
          <w:rFonts w:ascii="Calibri" w:eastAsia="Calibri" w:hAnsi="Calibri" w:cs="Calibri"/>
          <w:sz w:val="18"/>
        </w:rPr>
      </w:pPr>
      <w:r w:rsidRPr="00CD5F87">
        <w:rPr>
          <w:rFonts w:ascii="Calibri" w:eastAsia="Calibri" w:hAnsi="Calibri" w:cs="Calibri"/>
          <w:sz w:val="18"/>
        </w:rPr>
        <w:t>Edital de convocação e ata da última assembleia geral, e registro de presença dos cooperados presentes nessaassembleia;</w:t>
      </w:r>
    </w:p>
    <w:p w14:paraId="1B2AD7C7" w14:textId="77777777" w:rsidR="00F20451" w:rsidRPr="00CD5F87" w:rsidRDefault="00F20451" w:rsidP="00CD5F87">
      <w:pPr>
        <w:spacing w:after="197" w:line="262" w:lineRule="auto"/>
        <w:ind w:left="-5" w:hanging="10"/>
        <w:jc w:val="both"/>
        <w:rPr>
          <w:rFonts w:ascii="Calibri" w:eastAsia="Calibri" w:hAnsi="Calibri" w:cs="Calibri"/>
          <w:sz w:val="18"/>
        </w:rPr>
      </w:pPr>
      <w:r w:rsidRPr="00CD5F87">
        <w:rPr>
          <w:rFonts w:ascii="Calibri" w:eastAsia="Calibri" w:hAnsi="Calibri" w:cs="Calibri"/>
          <w:sz w:val="18"/>
        </w:rPr>
        <w:t>Ata da reunião em que os cooperados autorizaram a cooperativa a contratar o objeto da licitação;</w:t>
      </w:r>
    </w:p>
    <w:p w14:paraId="55A4BA8B" w14:textId="77777777" w:rsidR="00F20451" w:rsidRPr="00CD5F87" w:rsidRDefault="00F20451" w:rsidP="00CD5F87">
      <w:pPr>
        <w:spacing w:after="197" w:line="262" w:lineRule="auto"/>
        <w:ind w:left="-5" w:hanging="10"/>
        <w:jc w:val="both"/>
        <w:rPr>
          <w:rFonts w:ascii="Calibri" w:eastAsia="Calibri" w:hAnsi="Calibri" w:cs="Calibri"/>
          <w:sz w:val="18"/>
        </w:rPr>
      </w:pPr>
      <w:r w:rsidRPr="00CD5F87">
        <w:rPr>
          <w:rFonts w:ascii="Calibri" w:eastAsia="Calibri" w:hAnsi="Calibri" w:cs="Calibri"/>
          <w:sz w:val="18"/>
        </w:rPr>
        <w:t>A última auditoria contábil-financeira da cooperativa, conforme dispõe o art. 112 da Lei n. 5.764, de 1971, ou uma declaração, sob as penas da lei, de que tal auditoria não foi exigida pelo órgão fiscalizador;</w:t>
      </w:r>
    </w:p>
    <w:p w14:paraId="2B954AC0" w14:textId="77777777" w:rsidR="00F20451" w:rsidRPr="00CD5F87" w:rsidRDefault="00F20451" w:rsidP="00CD5F87">
      <w:pPr>
        <w:spacing w:after="197" w:line="262" w:lineRule="auto"/>
        <w:ind w:left="-5" w:hanging="10"/>
        <w:jc w:val="both"/>
        <w:rPr>
          <w:rFonts w:ascii="Calibri" w:eastAsia="Calibri" w:hAnsi="Calibri" w:cs="Calibri"/>
          <w:sz w:val="18"/>
        </w:rPr>
      </w:pPr>
      <w:r w:rsidRPr="00CD5F87">
        <w:rPr>
          <w:rFonts w:ascii="Calibri" w:eastAsia="Calibri" w:hAnsi="Calibri" w:cs="Calibri"/>
          <w:sz w:val="18"/>
        </w:rPr>
        <w:t>Documentação que seja demonstrativa de atuação em regime cooperado, com repartição de receitas e despesasentre os cooperados, caso essa circunstância não esteja evidenciada na documentação a ser apresentada para atendimento aos subitens anteriores.</w:t>
      </w:r>
    </w:p>
    <w:p w14:paraId="196182F1" w14:textId="77777777" w:rsidR="00F20451" w:rsidRPr="00CD5F87" w:rsidRDefault="00F20451" w:rsidP="00CD5F87">
      <w:pPr>
        <w:spacing w:after="197" w:line="262" w:lineRule="auto"/>
        <w:ind w:left="-5" w:hanging="10"/>
        <w:jc w:val="both"/>
        <w:rPr>
          <w:rFonts w:ascii="Calibri" w:eastAsia="Calibri" w:hAnsi="Calibri" w:cs="Calibri"/>
          <w:sz w:val="18"/>
        </w:rPr>
      </w:pPr>
      <w:r>
        <w:rPr>
          <w:rFonts w:ascii="Calibri" w:eastAsia="Calibri" w:hAnsi="Calibri" w:cs="Calibri"/>
          <w:sz w:val="18"/>
        </w:rPr>
        <w:t xml:space="preserve"> </w:t>
      </w:r>
    </w:p>
    <w:p w14:paraId="4CE90D33" w14:textId="77777777" w:rsidR="00F20451" w:rsidRPr="00CD5F87" w:rsidRDefault="00F20451" w:rsidP="00CD5F87">
      <w:pPr>
        <w:spacing w:after="198"/>
        <w:ind w:left="-5" w:hanging="10"/>
        <w:rPr>
          <w:rFonts w:ascii="Calibri" w:eastAsia="Calibri" w:hAnsi="Calibri" w:cs="Calibri"/>
          <w:b/>
          <w:sz w:val="18"/>
        </w:rPr>
      </w:pPr>
      <w:r w:rsidRPr="00CD5F87">
        <w:rPr>
          <w:rFonts w:ascii="Calibri" w:eastAsia="Calibri" w:hAnsi="Calibri" w:cs="Calibri"/>
          <w:b/>
          <w:sz w:val="18"/>
        </w:rPr>
        <w:t>9. ESTIMATIVAS DO VALOR DA CONTRATAÇÃO</w:t>
      </w:r>
    </w:p>
    <w:p w14:paraId="23AC3977" w14:textId="77777777" w:rsidR="00F20451" w:rsidRDefault="00F20451" w:rsidP="00F20451">
      <w:pPr>
        <w:spacing w:after="168" w:line="269" w:lineRule="auto"/>
        <w:ind w:left="-5" w:right="-5" w:hanging="10"/>
        <w:jc w:val="both"/>
      </w:pPr>
      <w:r>
        <w:rPr>
          <w:rFonts w:ascii="Calibri" w:eastAsia="Calibri" w:hAnsi="Calibri" w:cs="Calibri"/>
          <w:i/>
          <w:sz w:val="20"/>
        </w:rPr>
        <w:t>9.1 O valor estimado da contratação tem caráter sigiloso e não será tornado público antes de definido o resultado do julgamento das propostas. O valor estimado da contratação foi definido com observância do disposto no Decreto estadual nº 67.888, de 17 de agosto de 2023.</w:t>
      </w:r>
    </w:p>
    <w:p w14:paraId="21255F34" w14:textId="77777777" w:rsidR="00F20451" w:rsidRDefault="00F20451" w:rsidP="00F20451">
      <w:pPr>
        <w:spacing w:after="255"/>
      </w:pPr>
      <w:r>
        <w:rPr>
          <w:rFonts w:ascii="Calibri" w:eastAsia="Calibri" w:hAnsi="Calibri" w:cs="Calibri"/>
          <w:sz w:val="18"/>
        </w:rPr>
        <w:t xml:space="preserve"> </w:t>
      </w:r>
    </w:p>
    <w:p w14:paraId="31C2009E" w14:textId="77777777" w:rsidR="00F20451" w:rsidRPr="00CD5F87" w:rsidRDefault="00F20451" w:rsidP="00CD5F87">
      <w:pPr>
        <w:spacing w:after="198"/>
        <w:ind w:left="-5" w:hanging="10"/>
        <w:rPr>
          <w:rFonts w:ascii="Calibri" w:eastAsia="Calibri" w:hAnsi="Calibri" w:cs="Calibri"/>
          <w:b/>
          <w:sz w:val="18"/>
        </w:rPr>
      </w:pPr>
      <w:r w:rsidRPr="00CD5F87">
        <w:rPr>
          <w:rFonts w:ascii="Calibri" w:eastAsia="Calibri" w:hAnsi="Calibri" w:cs="Calibri"/>
          <w:b/>
          <w:sz w:val="18"/>
        </w:rPr>
        <w:t xml:space="preserve">10. ADEQUAÇÃO ORÇAMENTÁRIA </w:t>
      </w:r>
    </w:p>
    <w:p w14:paraId="7A9E861C" w14:textId="77777777" w:rsidR="00F20451" w:rsidRDefault="00F20451" w:rsidP="00F20451">
      <w:pPr>
        <w:spacing w:after="210" w:line="267" w:lineRule="auto"/>
        <w:ind w:left="10" w:right="19" w:hanging="10"/>
        <w:jc w:val="both"/>
      </w:pPr>
      <w:r>
        <w:rPr>
          <w:rFonts w:ascii="Calibri" w:eastAsia="Calibri" w:hAnsi="Calibri" w:cs="Calibri"/>
          <w:sz w:val="20"/>
        </w:rPr>
        <w:t xml:space="preserve">10.1. As despesas decorrentes da presente contratação correrão à conta de recursos específicos consignados no Orçamento do Estado. </w:t>
      </w:r>
    </w:p>
    <w:p w14:paraId="2E8BE2C6" w14:textId="77777777" w:rsidR="00F20451" w:rsidRDefault="00F20451" w:rsidP="00F20451">
      <w:pPr>
        <w:spacing w:after="210" w:line="267" w:lineRule="auto"/>
        <w:ind w:left="10" w:right="19" w:hanging="10"/>
        <w:jc w:val="both"/>
      </w:pPr>
      <w:r>
        <w:rPr>
          <w:rFonts w:ascii="Calibri" w:eastAsia="Calibri" w:hAnsi="Calibri" w:cs="Calibri"/>
          <w:sz w:val="18"/>
        </w:rPr>
        <w:t xml:space="preserve">10.2 </w:t>
      </w:r>
      <w:r>
        <w:rPr>
          <w:rFonts w:ascii="Calibri" w:eastAsia="Calibri" w:hAnsi="Calibri" w:cs="Calibri"/>
          <w:sz w:val="20"/>
        </w:rPr>
        <w:t>No presente exercício, a contratação será atendida pela seguinte dotação:</w:t>
      </w:r>
    </w:p>
    <w:p w14:paraId="4787907C" w14:textId="77777777" w:rsidR="00F20451" w:rsidRDefault="00F20451" w:rsidP="00F20451">
      <w:pPr>
        <w:spacing w:after="210" w:line="267" w:lineRule="auto"/>
        <w:ind w:left="10" w:right="19" w:hanging="10"/>
        <w:jc w:val="both"/>
      </w:pPr>
      <w:r>
        <w:rPr>
          <w:rFonts w:ascii="Calibri" w:eastAsia="Calibri" w:hAnsi="Calibri" w:cs="Calibri"/>
          <w:sz w:val="20"/>
        </w:rPr>
        <w:t>10.2.1. Gestão/Unidade: 092301;</w:t>
      </w:r>
    </w:p>
    <w:p w14:paraId="36BEB49F" w14:textId="77777777" w:rsidR="00F20451" w:rsidRDefault="00F20451" w:rsidP="00F20451">
      <w:pPr>
        <w:spacing w:after="210" w:line="267" w:lineRule="auto"/>
        <w:ind w:left="10" w:right="19" w:hanging="10"/>
        <w:jc w:val="both"/>
      </w:pPr>
      <w:r>
        <w:rPr>
          <w:rFonts w:ascii="Calibri" w:eastAsia="Calibri" w:hAnsi="Calibri" w:cs="Calibri"/>
          <w:sz w:val="20"/>
        </w:rPr>
        <w:t>10.2.2. Fonte de Recursos: 165.910.001;</w:t>
      </w:r>
    </w:p>
    <w:p w14:paraId="4D240DDB" w14:textId="77777777" w:rsidR="00F20451" w:rsidRDefault="00F20451" w:rsidP="00F20451">
      <w:pPr>
        <w:spacing w:after="210" w:line="267" w:lineRule="auto"/>
        <w:ind w:left="10" w:right="19" w:hanging="10"/>
        <w:jc w:val="both"/>
      </w:pPr>
      <w:r>
        <w:rPr>
          <w:rFonts w:ascii="Calibri" w:eastAsia="Calibri" w:hAnsi="Calibri" w:cs="Calibri"/>
          <w:sz w:val="20"/>
        </w:rPr>
        <w:t>10.2.3. Programa de Trabalho: PTRES 095715;</w:t>
      </w:r>
    </w:p>
    <w:p w14:paraId="7B345915" w14:textId="77777777" w:rsidR="00F20451" w:rsidRDefault="00F20451" w:rsidP="00F20451">
      <w:pPr>
        <w:spacing w:after="210" w:line="267" w:lineRule="auto"/>
        <w:ind w:left="10" w:right="19" w:hanging="10"/>
        <w:jc w:val="both"/>
      </w:pPr>
      <w:r>
        <w:rPr>
          <w:rFonts w:ascii="Calibri" w:eastAsia="Calibri" w:hAnsi="Calibri" w:cs="Calibri"/>
          <w:sz w:val="20"/>
        </w:rPr>
        <w:t>10.2.4. Elemento de Despesa: 33903030;</w:t>
      </w:r>
    </w:p>
    <w:p w14:paraId="224A6242" w14:textId="77777777" w:rsidR="00F20451" w:rsidRDefault="00F20451" w:rsidP="00F20451">
      <w:pPr>
        <w:spacing w:after="175" w:line="267" w:lineRule="auto"/>
        <w:ind w:left="10" w:right="19" w:hanging="10"/>
        <w:jc w:val="both"/>
      </w:pPr>
      <w:r>
        <w:rPr>
          <w:rFonts w:ascii="Calibri" w:eastAsia="Calibri" w:hAnsi="Calibri" w:cs="Calibri"/>
          <w:sz w:val="20"/>
        </w:rPr>
        <w:t>10.2.5. Plano Interno: N/A</w:t>
      </w:r>
    </w:p>
    <w:p w14:paraId="1AA8398C" w14:textId="77777777" w:rsidR="00F20451" w:rsidRDefault="00F20451" w:rsidP="00F20451">
      <w:pPr>
        <w:spacing w:after="222"/>
        <w:ind w:left="15"/>
      </w:pPr>
      <w:r>
        <w:rPr>
          <w:rFonts w:ascii="Calibri" w:eastAsia="Calibri" w:hAnsi="Calibri" w:cs="Calibri"/>
          <w:sz w:val="18"/>
        </w:rPr>
        <w:t xml:space="preserve"> </w:t>
      </w:r>
    </w:p>
    <w:p w14:paraId="42B472D8" w14:textId="77777777" w:rsidR="00F20451" w:rsidRDefault="00F20451" w:rsidP="00F20451">
      <w:pPr>
        <w:spacing w:after="698" w:line="269" w:lineRule="auto"/>
        <w:ind w:left="-5" w:right="-5" w:hanging="10"/>
        <w:jc w:val="both"/>
      </w:pPr>
      <w:r>
        <w:rPr>
          <w:rFonts w:ascii="Calibri" w:eastAsia="Calibri" w:hAnsi="Calibri" w:cs="Calibri"/>
          <w:i/>
          <w:sz w:val="20"/>
        </w:rPr>
        <w:t>10.3. Quando a execução do contrato ultrapassar o presente exercício, a dotação relativa ao(s) exercício(s) financeiro(s) subsequente(s) será indicada após aprovação da Lei Orçamentária respectiva e liberação dos créditos correspondentes, mediante apostilamento.</w:t>
      </w:r>
    </w:p>
    <w:p w14:paraId="1FA6B125" w14:textId="77777777" w:rsidR="00F20451" w:rsidRPr="005777B8" w:rsidRDefault="00F20451" w:rsidP="00CD5F87">
      <w:pPr>
        <w:spacing w:after="198"/>
        <w:ind w:left="-5" w:hanging="10"/>
        <w:rPr>
          <w:rFonts w:ascii="Calibri" w:eastAsia="Calibri" w:hAnsi="Calibri" w:cs="Calibri"/>
          <w:b/>
          <w:sz w:val="20"/>
          <w:szCs w:val="20"/>
        </w:rPr>
      </w:pPr>
      <w:r w:rsidRPr="005777B8">
        <w:rPr>
          <w:rFonts w:ascii="Calibri" w:eastAsia="Calibri" w:hAnsi="Calibri" w:cs="Calibri"/>
          <w:b/>
          <w:sz w:val="20"/>
          <w:szCs w:val="20"/>
        </w:rPr>
        <w:t>2. Modelo Padrão Adotado</w:t>
      </w:r>
    </w:p>
    <w:p w14:paraId="58E6A8C3" w14:textId="77777777" w:rsidR="00F20451" w:rsidRPr="00CD5F87" w:rsidRDefault="00F20451" w:rsidP="00F20451">
      <w:pPr>
        <w:spacing w:after="198"/>
        <w:ind w:left="-5" w:hanging="10"/>
        <w:rPr>
          <w:rFonts w:ascii="Calibri" w:eastAsia="Calibri" w:hAnsi="Calibri" w:cs="Calibri"/>
          <w:b/>
          <w:sz w:val="18"/>
        </w:rPr>
      </w:pPr>
      <w:r>
        <w:rPr>
          <w:rFonts w:ascii="Calibri" w:eastAsia="Calibri" w:hAnsi="Calibri" w:cs="Calibri"/>
          <w:b/>
          <w:sz w:val="18"/>
        </w:rPr>
        <w:t xml:space="preserve">Termo de Referência: </w:t>
      </w:r>
    </w:p>
    <w:p w14:paraId="23E53641" w14:textId="77777777" w:rsidR="00F20451" w:rsidRDefault="00F20451" w:rsidP="00F20451">
      <w:pPr>
        <w:spacing w:after="0" w:line="262" w:lineRule="auto"/>
        <w:ind w:left="-5" w:right="7414" w:hanging="10"/>
        <w:jc w:val="both"/>
      </w:pPr>
      <w:r>
        <w:rPr>
          <w:rFonts w:ascii="Calibri" w:eastAsia="Calibri" w:hAnsi="Calibri" w:cs="Calibri"/>
          <w:sz w:val="18"/>
        </w:rPr>
        <w:t>Administração Pública do Estado São Paulo Minuta padronizada.</w:t>
      </w:r>
    </w:p>
    <w:p w14:paraId="2B5F274B" w14:textId="77777777" w:rsidR="00F20451" w:rsidRDefault="00F20451" w:rsidP="00F20451">
      <w:pPr>
        <w:spacing w:after="0" w:line="262" w:lineRule="auto"/>
        <w:ind w:left="-5" w:hanging="10"/>
        <w:jc w:val="both"/>
      </w:pPr>
      <w:r>
        <w:rPr>
          <w:rFonts w:ascii="Calibri" w:eastAsia="Calibri" w:hAnsi="Calibri" w:cs="Calibri"/>
          <w:sz w:val="18"/>
        </w:rPr>
        <w:t>Análise técnica: Subsecretaria de Gestão. Exame jurídico: PGE</w:t>
      </w:r>
    </w:p>
    <w:p w14:paraId="7C732D40" w14:textId="77777777" w:rsidR="00F20451" w:rsidRDefault="00F20451" w:rsidP="00F20451">
      <w:pPr>
        <w:spacing w:after="0" w:line="262" w:lineRule="auto"/>
        <w:ind w:left="-5" w:hanging="10"/>
        <w:jc w:val="both"/>
      </w:pPr>
      <w:r>
        <w:rPr>
          <w:rFonts w:ascii="Calibri" w:eastAsia="Calibri" w:hAnsi="Calibri" w:cs="Calibri"/>
          <w:sz w:val="18"/>
        </w:rPr>
        <w:t>Termo de Referência - Aquisição - Licitação</w:t>
      </w:r>
    </w:p>
    <w:p w14:paraId="699BFB9D" w14:textId="77777777" w:rsidR="00F20451" w:rsidRDefault="00F20451" w:rsidP="00F20451">
      <w:pPr>
        <w:spacing w:after="197" w:line="262" w:lineRule="auto"/>
        <w:ind w:left="-5" w:hanging="10"/>
        <w:jc w:val="both"/>
      </w:pPr>
      <w:r>
        <w:rPr>
          <w:rFonts w:ascii="Calibri" w:eastAsia="Calibri" w:hAnsi="Calibri" w:cs="Calibri"/>
          <w:sz w:val="18"/>
        </w:rPr>
        <w:t>Versão atualizada em: 05/09/2024</w:t>
      </w:r>
    </w:p>
    <w:p w14:paraId="2010B08C" w14:textId="77777777" w:rsidR="00F20451" w:rsidRDefault="00F20451" w:rsidP="00F20451">
      <w:pPr>
        <w:spacing w:after="168"/>
      </w:pPr>
      <w:r>
        <w:rPr>
          <w:rFonts w:ascii="Calibri" w:eastAsia="Calibri" w:hAnsi="Calibri" w:cs="Calibri"/>
          <w:sz w:val="18"/>
        </w:rPr>
        <w:t xml:space="preserve"> </w:t>
      </w:r>
    </w:p>
    <w:p w14:paraId="3B519DA9" w14:textId="77777777" w:rsidR="00F20451" w:rsidRDefault="00F20451" w:rsidP="00F20451">
      <w:pPr>
        <w:spacing w:after="208"/>
        <w:ind w:left="600"/>
      </w:pPr>
      <w:r>
        <w:rPr>
          <w:rFonts w:ascii="Courier New" w:eastAsia="Courier New" w:hAnsi="Courier New" w:cs="Courier New"/>
          <w:sz w:val="18"/>
        </w:rPr>
        <w:t xml:space="preserve">  </w:t>
      </w:r>
    </w:p>
    <w:p w14:paraId="451A3C14" w14:textId="77777777" w:rsidR="00F20451" w:rsidRDefault="00F20451" w:rsidP="00F20451">
      <w:pPr>
        <w:spacing w:after="0"/>
      </w:pPr>
      <w:r>
        <w:rPr>
          <w:rFonts w:ascii="Calibri" w:eastAsia="Calibri" w:hAnsi="Calibri" w:cs="Calibri"/>
          <w:sz w:val="18"/>
        </w:rPr>
        <w:lastRenderedPageBreak/>
        <w:t xml:space="preserve"> </w:t>
      </w:r>
    </w:p>
    <w:p w14:paraId="1A7FA362" w14:textId="77777777" w:rsidR="00F20451" w:rsidRPr="005777B8" w:rsidRDefault="00F20451" w:rsidP="005777B8">
      <w:pPr>
        <w:spacing w:after="198"/>
        <w:ind w:left="-5" w:hanging="10"/>
        <w:rPr>
          <w:rFonts w:ascii="Calibri" w:eastAsia="Calibri" w:hAnsi="Calibri" w:cs="Calibri"/>
          <w:b/>
        </w:rPr>
      </w:pPr>
      <w:r w:rsidRPr="005777B8">
        <w:rPr>
          <w:rFonts w:ascii="Calibri" w:eastAsia="Calibri" w:hAnsi="Calibri" w:cs="Calibri"/>
          <w:b/>
        </w:rPr>
        <w:t>3. Nível de acesso</w:t>
      </w:r>
    </w:p>
    <w:p w14:paraId="2DABB175" w14:textId="77777777" w:rsidR="00F20451" w:rsidRDefault="00F20451" w:rsidP="00F20451">
      <w:pPr>
        <w:spacing w:after="724" w:line="262" w:lineRule="auto"/>
        <w:ind w:left="-5" w:hanging="10"/>
        <w:jc w:val="both"/>
      </w:pPr>
      <w:r>
        <w:rPr>
          <w:rFonts w:ascii="Calibri" w:eastAsia="Calibri" w:hAnsi="Calibri" w:cs="Calibri"/>
          <w:sz w:val="18"/>
        </w:rPr>
        <w:t>Este documento tem nível de acesso público visto que não contém dados pessoais protegidos nem informações restritas ou sigilosas.</w:t>
      </w:r>
    </w:p>
    <w:p w14:paraId="2EC39A97" w14:textId="77777777" w:rsidR="00F20451" w:rsidRPr="005777B8" w:rsidRDefault="00F20451" w:rsidP="005777B8">
      <w:pPr>
        <w:spacing w:after="198"/>
        <w:ind w:left="-5" w:hanging="10"/>
        <w:rPr>
          <w:rFonts w:ascii="Calibri" w:eastAsia="Calibri" w:hAnsi="Calibri" w:cs="Calibri"/>
          <w:b/>
        </w:rPr>
      </w:pPr>
      <w:r w:rsidRPr="005777B8">
        <w:rPr>
          <w:rFonts w:ascii="Calibri" w:eastAsia="Calibri" w:hAnsi="Calibri" w:cs="Calibri"/>
          <w:b/>
        </w:rPr>
        <w:t>4. Responsáveis</w:t>
      </w:r>
    </w:p>
    <w:p w14:paraId="210E5877" w14:textId="77777777" w:rsidR="00F20451" w:rsidRDefault="00F20451" w:rsidP="00F20451">
      <w:pPr>
        <w:spacing w:after="83" w:line="262" w:lineRule="auto"/>
        <w:ind w:left="-5" w:hanging="10"/>
        <w:jc w:val="both"/>
      </w:pPr>
      <w:r>
        <w:rPr>
          <w:rFonts w:ascii="Calibri" w:eastAsia="Calibri" w:hAnsi="Calibri" w:cs="Calibri"/>
          <w:sz w:val="18"/>
        </w:rPr>
        <w:t xml:space="preserve">Todas as assinaturas eletrônicas seguem o horário oficial de Brasília e fundamentam-se no §3º do Art. 4º do </w:t>
      </w:r>
      <w:hyperlink r:id="rId22">
        <w:r>
          <w:rPr>
            <w:rFonts w:ascii="Calibri" w:eastAsia="Calibri" w:hAnsi="Calibri" w:cs="Calibri"/>
            <w:color w:val="0000FF"/>
            <w:sz w:val="18"/>
            <w:u w:val="single" w:color="0000FF"/>
          </w:rPr>
          <w:t xml:space="preserve">Decreto nº 10.543, de 13 de novembro de </w:t>
        </w:r>
      </w:hyperlink>
      <w:hyperlink r:id="rId23">
        <w:r>
          <w:rPr>
            <w:rFonts w:ascii="Calibri" w:eastAsia="Calibri" w:hAnsi="Calibri" w:cs="Calibri"/>
            <w:color w:val="0000FF"/>
            <w:sz w:val="18"/>
            <w:u w:val="single" w:color="0000FF"/>
          </w:rPr>
          <w:t>2020</w:t>
        </w:r>
      </w:hyperlink>
      <w:hyperlink r:id="rId24">
        <w:r>
          <w:rPr>
            <w:rFonts w:ascii="Calibri" w:eastAsia="Calibri" w:hAnsi="Calibri" w:cs="Calibri"/>
            <w:sz w:val="18"/>
          </w:rPr>
          <w:t>.</w:t>
        </w:r>
      </w:hyperlink>
    </w:p>
    <w:p w14:paraId="3E649D41" w14:textId="77777777" w:rsidR="00F20451" w:rsidRDefault="00F20451" w:rsidP="00F20451">
      <w:pPr>
        <w:spacing w:after="54"/>
        <w:ind w:right="7"/>
        <w:jc w:val="center"/>
      </w:pPr>
      <w:r>
        <w:rPr>
          <w:rFonts w:ascii="Calibri" w:eastAsia="Calibri" w:hAnsi="Calibri" w:cs="Calibri"/>
          <w:sz w:val="18"/>
        </w:rPr>
        <w:t xml:space="preserve"> </w:t>
      </w:r>
    </w:p>
    <w:p w14:paraId="34F1A027" w14:textId="77777777" w:rsidR="00F20451" w:rsidRDefault="00F20451" w:rsidP="00F20451">
      <w:pPr>
        <w:spacing w:after="54"/>
        <w:ind w:right="7"/>
        <w:jc w:val="center"/>
      </w:pPr>
      <w:r>
        <w:rPr>
          <w:rFonts w:ascii="Calibri" w:eastAsia="Calibri" w:hAnsi="Calibri" w:cs="Calibri"/>
          <w:sz w:val="18"/>
        </w:rPr>
        <w:t xml:space="preserve"> </w:t>
      </w:r>
    </w:p>
    <w:p w14:paraId="3499D455" w14:textId="77777777" w:rsidR="00F20451" w:rsidRDefault="00F20451" w:rsidP="00F20451">
      <w:pPr>
        <w:spacing w:after="54"/>
        <w:ind w:right="7"/>
        <w:jc w:val="center"/>
      </w:pPr>
      <w:r>
        <w:rPr>
          <w:rFonts w:ascii="Calibri" w:eastAsia="Calibri" w:hAnsi="Calibri" w:cs="Calibri"/>
          <w:sz w:val="18"/>
        </w:rPr>
        <w:t xml:space="preserve"> </w:t>
      </w:r>
    </w:p>
    <w:p w14:paraId="0C738465" w14:textId="77777777" w:rsidR="00F20451" w:rsidRDefault="00F20451" w:rsidP="00F20451">
      <w:pPr>
        <w:spacing w:after="95"/>
        <w:ind w:right="7"/>
        <w:jc w:val="center"/>
      </w:pPr>
      <w:r>
        <w:rPr>
          <w:rFonts w:ascii="Calibri" w:eastAsia="Calibri" w:hAnsi="Calibri" w:cs="Calibri"/>
          <w:sz w:val="18"/>
        </w:rPr>
        <w:t xml:space="preserve"> </w:t>
      </w:r>
    </w:p>
    <w:p w14:paraId="46AABD0E" w14:textId="77777777" w:rsidR="00F20451" w:rsidRDefault="00F20451" w:rsidP="00F20451">
      <w:pPr>
        <w:pStyle w:val="Ttulo2"/>
        <w:spacing w:after="18"/>
        <w:ind w:right="7"/>
        <w:jc w:val="center"/>
      </w:pPr>
      <w:r>
        <w:rPr>
          <w:rFonts w:ascii="Calibri" w:eastAsia="Calibri" w:hAnsi="Calibri" w:cs="Calibri"/>
          <w:sz w:val="22"/>
        </w:rPr>
        <w:t>ANA CLAUDIA DOS SANTOS OLIVEIRA</w:t>
      </w:r>
    </w:p>
    <w:p w14:paraId="1F239BED" w14:textId="77777777" w:rsidR="00F20451" w:rsidRDefault="00F20451" w:rsidP="00F20451">
      <w:pPr>
        <w:spacing w:after="38"/>
        <w:ind w:left="10" w:right="7" w:hanging="10"/>
        <w:jc w:val="center"/>
      </w:pPr>
      <w:r>
        <w:rPr>
          <w:rFonts w:ascii="Calibri" w:eastAsia="Calibri" w:hAnsi="Calibri" w:cs="Calibri"/>
          <w:sz w:val="18"/>
        </w:rPr>
        <w:t>Op. Micro Pl.</w:t>
      </w:r>
    </w:p>
    <w:p w14:paraId="7FEB5B69" w14:textId="77777777" w:rsidR="00F20451" w:rsidRDefault="00F20451" w:rsidP="00F20451">
      <w:pPr>
        <w:spacing w:after="54"/>
        <w:ind w:right="7"/>
        <w:jc w:val="center"/>
      </w:pPr>
      <w:r>
        <w:rPr>
          <w:rFonts w:ascii="Calibri" w:eastAsia="Calibri" w:hAnsi="Calibri" w:cs="Calibri"/>
          <w:sz w:val="18"/>
        </w:rPr>
        <w:t xml:space="preserve"> </w:t>
      </w:r>
    </w:p>
    <w:p w14:paraId="031ED265" w14:textId="77777777" w:rsidR="00F20451" w:rsidRDefault="00F20451" w:rsidP="00F20451">
      <w:pPr>
        <w:spacing w:after="54"/>
        <w:ind w:right="7"/>
        <w:jc w:val="center"/>
      </w:pPr>
      <w:r>
        <w:rPr>
          <w:rFonts w:ascii="Calibri" w:eastAsia="Calibri" w:hAnsi="Calibri" w:cs="Calibri"/>
          <w:sz w:val="18"/>
        </w:rPr>
        <w:t xml:space="preserve"> </w:t>
      </w:r>
    </w:p>
    <w:p w14:paraId="507A1AEC" w14:textId="77777777" w:rsidR="00F20451" w:rsidRDefault="00F20451" w:rsidP="00F20451">
      <w:pPr>
        <w:spacing w:after="95"/>
        <w:ind w:right="7"/>
        <w:jc w:val="center"/>
      </w:pPr>
      <w:r>
        <w:rPr>
          <w:rFonts w:ascii="Calibri" w:eastAsia="Calibri" w:hAnsi="Calibri" w:cs="Calibri"/>
          <w:sz w:val="18"/>
        </w:rPr>
        <w:t xml:space="preserve"> </w:t>
      </w:r>
    </w:p>
    <w:p w14:paraId="7767AC58" w14:textId="77777777" w:rsidR="00F20451" w:rsidRDefault="00F20451" w:rsidP="00F20451">
      <w:pPr>
        <w:spacing w:after="18"/>
        <w:ind w:left="10" w:right="6" w:hanging="10"/>
        <w:jc w:val="center"/>
      </w:pPr>
      <w:r>
        <w:rPr>
          <w:rFonts w:ascii="Calibri" w:eastAsia="Calibri" w:hAnsi="Calibri" w:cs="Calibri"/>
          <w:b/>
        </w:rPr>
        <w:t>PRISCILA SANTANA DESTRO</w:t>
      </w:r>
    </w:p>
    <w:p w14:paraId="5F4BB04A" w14:textId="77777777" w:rsidR="00F20451" w:rsidRDefault="00F20451" w:rsidP="00F20451">
      <w:pPr>
        <w:spacing w:after="38"/>
        <w:ind w:left="10" w:right="7" w:hanging="10"/>
        <w:jc w:val="center"/>
      </w:pPr>
      <w:r>
        <w:rPr>
          <w:rFonts w:ascii="Calibri" w:eastAsia="Calibri" w:hAnsi="Calibri" w:cs="Calibri"/>
          <w:sz w:val="18"/>
        </w:rPr>
        <w:t>Supervisora</w:t>
      </w:r>
    </w:p>
    <w:p w14:paraId="75B6FEB1" w14:textId="77777777" w:rsidR="00F20451" w:rsidRDefault="00F20451" w:rsidP="00F20451">
      <w:pPr>
        <w:spacing w:after="54"/>
        <w:ind w:right="7"/>
        <w:jc w:val="center"/>
      </w:pPr>
      <w:r>
        <w:rPr>
          <w:rFonts w:ascii="Calibri" w:eastAsia="Calibri" w:hAnsi="Calibri" w:cs="Calibri"/>
          <w:sz w:val="18"/>
        </w:rPr>
        <w:t xml:space="preserve"> </w:t>
      </w:r>
    </w:p>
    <w:p w14:paraId="0E0E3811" w14:textId="77777777" w:rsidR="00F20451" w:rsidRDefault="00F20451" w:rsidP="00F20451">
      <w:pPr>
        <w:spacing w:after="54"/>
        <w:ind w:right="7"/>
        <w:jc w:val="center"/>
      </w:pPr>
      <w:r>
        <w:rPr>
          <w:rFonts w:ascii="Calibri" w:eastAsia="Calibri" w:hAnsi="Calibri" w:cs="Calibri"/>
          <w:sz w:val="18"/>
        </w:rPr>
        <w:t xml:space="preserve"> </w:t>
      </w:r>
    </w:p>
    <w:p w14:paraId="52898C1D" w14:textId="77777777" w:rsidR="00F20451" w:rsidRDefault="00F20451" w:rsidP="00F20451">
      <w:pPr>
        <w:spacing w:after="54"/>
        <w:ind w:right="7"/>
        <w:jc w:val="center"/>
      </w:pPr>
      <w:r>
        <w:rPr>
          <w:rFonts w:ascii="Calibri" w:eastAsia="Calibri" w:hAnsi="Calibri" w:cs="Calibri"/>
          <w:sz w:val="18"/>
        </w:rPr>
        <w:t xml:space="preserve"> </w:t>
      </w:r>
    </w:p>
    <w:p w14:paraId="01D10743" w14:textId="77777777" w:rsidR="00F20451" w:rsidRDefault="00F20451" w:rsidP="00F20451">
      <w:pPr>
        <w:spacing w:after="95"/>
        <w:ind w:right="7"/>
        <w:jc w:val="center"/>
      </w:pPr>
      <w:r>
        <w:rPr>
          <w:rFonts w:ascii="Calibri" w:eastAsia="Calibri" w:hAnsi="Calibri" w:cs="Calibri"/>
          <w:sz w:val="18"/>
        </w:rPr>
        <w:t xml:space="preserve"> </w:t>
      </w:r>
    </w:p>
    <w:p w14:paraId="4B1036D5" w14:textId="77777777" w:rsidR="00F20451" w:rsidRDefault="00F20451" w:rsidP="00F20451">
      <w:pPr>
        <w:pStyle w:val="Ttulo2"/>
        <w:spacing w:after="18"/>
        <w:ind w:right="7"/>
        <w:jc w:val="center"/>
      </w:pPr>
      <w:r>
        <w:rPr>
          <w:rFonts w:ascii="Calibri" w:eastAsia="Calibri" w:hAnsi="Calibri" w:cs="Calibri"/>
          <w:sz w:val="22"/>
        </w:rPr>
        <w:t>MARIA MITIKO HIRAISHI</w:t>
      </w:r>
    </w:p>
    <w:p w14:paraId="48146AA3" w14:textId="77777777" w:rsidR="00F20451" w:rsidRDefault="00F20451" w:rsidP="00F20451">
      <w:pPr>
        <w:spacing w:after="38"/>
        <w:ind w:left="10" w:right="6" w:hanging="10"/>
        <w:jc w:val="center"/>
      </w:pPr>
      <w:r>
        <w:rPr>
          <w:rFonts w:ascii="Calibri" w:eastAsia="Calibri" w:hAnsi="Calibri" w:cs="Calibri"/>
          <w:sz w:val="18"/>
        </w:rPr>
        <w:t>Equipe de apoio</w:t>
      </w:r>
    </w:p>
    <w:p w14:paraId="5E7CAD27" w14:textId="77777777" w:rsidR="005777B8" w:rsidRDefault="005777B8">
      <w:pP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br w:type="page"/>
      </w:r>
    </w:p>
    <w:p w14:paraId="10A46841" w14:textId="3F19DE94" w:rsidR="00592295" w:rsidRPr="00592295" w:rsidRDefault="00592295" w:rsidP="00592295">
      <w:pPr>
        <w:spacing w:after="165" w:line="240" w:lineRule="auto"/>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lastRenderedPageBreak/>
        <w:t>APÊNDICE.1</w:t>
      </w:r>
    </w:p>
    <w:p w14:paraId="0E403C9E" w14:textId="3A5C4F4D" w:rsidR="00592295" w:rsidRDefault="00592295" w:rsidP="00592295">
      <w:pPr>
        <w:spacing w:after="165" w:line="240" w:lineRule="auto"/>
        <w:jc w:val="center"/>
        <w:rPr>
          <w:rFonts w:ascii="Arial" w:hAnsi="Arial" w:cs="Arial"/>
          <w:b/>
          <w:color w:val="FF0000"/>
          <w:spacing w:val="-4"/>
          <w:sz w:val="18"/>
          <w:szCs w:val="18"/>
        </w:rPr>
      </w:pPr>
      <w:r w:rsidRPr="00592295">
        <w:rPr>
          <w:rFonts w:ascii="Arial" w:eastAsia="Times New Roman" w:hAnsi="Arial" w:cs="Arial"/>
          <w:b/>
          <w:bCs/>
          <w:color w:val="000000"/>
          <w:sz w:val="18"/>
          <w:szCs w:val="18"/>
          <w:lang w:eastAsia="pt-BR"/>
        </w:rPr>
        <w:t>ESTUDO TÉCNICO PRELIMINAR</w:t>
      </w:r>
      <w:r w:rsidR="00A13E89">
        <w:rPr>
          <w:rFonts w:ascii="Arial" w:eastAsia="Times New Roman" w:hAnsi="Arial" w:cs="Arial"/>
          <w:b/>
          <w:bCs/>
          <w:color w:val="000000"/>
          <w:sz w:val="18"/>
          <w:szCs w:val="18"/>
          <w:lang w:eastAsia="pt-BR"/>
        </w:rPr>
        <w:t xml:space="preserve"> n° </w:t>
      </w:r>
      <w:r w:rsidR="005777B8" w:rsidRPr="005777B8">
        <w:rPr>
          <w:rFonts w:ascii="Arial" w:hAnsi="Arial" w:cs="Arial"/>
          <w:b/>
          <w:spacing w:val="-4"/>
          <w:sz w:val="18"/>
          <w:szCs w:val="18"/>
        </w:rPr>
        <w:t>128/2026</w:t>
      </w:r>
    </w:p>
    <w:p w14:paraId="31162194" w14:textId="77777777" w:rsidR="005777B8" w:rsidRPr="005777B8" w:rsidRDefault="005777B8" w:rsidP="005777B8">
      <w:pPr>
        <w:spacing w:after="198"/>
        <w:ind w:left="-5" w:hanging="10"/>
        <w:rPr>
          <w:rFonts w:ascii="Calibri" w:eastAsia="Calibri" w:hAnsi="Calibri" w:cs="Calibri"/>
          <w:b/>
        </w:rPr>
      </w:pPr>
      <w:r w:rsidRPr="005777B8">
        <w:rPr>
          <w:rFonts w:ascii="Calibri" w:eastAsia="Calibri" w:hAnsi="Calibri" w:cs="Calibri"/>
          <w:b/>
        </w:rPr>
        <w:t>1. Informações Básicas</w:t>
      </w:r>
    </w:p>
    <w:p w14:paraId="39130654" w14:textId="77777777" w:rsidR="005777B8" w:rsidRDefault="005777B8" w:rsidP="005777B8">
      <w:pPr>
        <w:spacing w:after="723" w:line="262" w:lineRule="auto"/>
        <w:ind w:left="-5" w:hanging="10"/>
        <w:jc w:val="both"/>
      </w:pPr>
      <w:r>
        <w:rPr>
          <w:rFonts w:ascii="Calibri" w:eastAsia="Calibri" w:hAnsi="Calibri" w:cs="Calibri"/>
          <w:sz w:val="18"/>
        </w:rPr>
        <w:t>Número do processo: 145.00002486/2026-31</w:t>
      </w:r>
    </w:p>
    <w:p w14:paraId="29E69D02" w14:textId="77777777" w:rsidR="005777B8" w:rsidRPr="005777B8" w:rsidRDefault="005777B8" w:rsidP="005777B8">
      <w:pPr>
        <w:spacing w:after="198"/>
        <w:ind w:left="-5" w:hanging="10"/>
        <w:rPr>
          <w:rFonts w:ascii="Calibri" w:eastAsia="Calibri" w:hAnsi="Calibri" w:cs="Calibri"/>
          <w:b/>
        </w:rPr>
      </w:pPr>
      <w:r w:rsidRPr="005777B8">
        <w:rPr>
          <w:rFonts w:ascii="Calibri" w:eastAsia="Calibri" w:hAnsi="Calibri" w:cs="Calibri"/>
          <w:b/>
        </w:rPr>
        <w:t>2. Descrição da necessidade</w:t>
      </w:r>
    </w:p>
    <w:p w14:paraId="0F221D10" w14:textId="77777777" w:rsidR="005777B8" w:rsidRDefault="005777B8" w:rsidP="005777B8">
      <w:pPr>
        <w:spacing w:after="166" w:line="294" w:lineRule="auto"/>
        <w:ind w:left="-5" w:hanging="10"/>
        <w:jc w:val="both"/>
      </w:pPr>
      <w:r>
        <w:rPr>
          <w:rFonts w:ascii="Arial" w:eastAsia="Arial" w:hAnsi="Arial" w:cs="Arial"/>
          <w:sz w:val="20"/>
        </w:rPr>
        <w:t xml:space="preserve">Aquisição de </w:t>
      </w:r>
      <w:r>
        <w:rPr>
          <w:rFonts w:ascii="Arial" w:eastAsia="Arial" w:hAnsi="Arial" w:cs="Arial"/>
          <w:b/>
          <w:sz w:val="20"/>
        </w:rPr>
        <w:t>material de consumo</w:t>
      </w:r>
      <w:r>
        <w:rPr>
          <w:rFonts w:ascii="Arial" w:eastAsia="Arial" w:hAnsi="Arial" w:cs="Arial"/>
          <w:sz w:val="20"/>
        </w:rPr>
        <w:t xml:space="preserve"> padronizado pelo HCFMUSP, necessária para o atendimento das atividades assistenciais do complexo hospitalar e manutenção regular do estoque, visando atendimento adequado aos pacientes.</w:t>
      </w:r>
    </w:p>
    <w:p w14:paraId="2AC19F4B" w14:textId="77777777" w:rsidR="005777B8" w:rsidRDefault="005777B8" w:rsidP="005777B8">
      <w:pPr>
        <w:spacing w:after="0"/>
      </w:pPr>
      <w:r>
        <w:rPr>
          <w:rFonts w:ascii="Calibri" w:eastAsia="Calibri" w:hAnsi="Calibri" w:cs="Calibri"/>
          <w:sz w:val="18"/>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
        <w:gridCol w:w="4587"/>
        <w:gridCol w:w="839"/>
        <w:gridCol w:w="821"/>
        <w:gridCol w:w="807"/>
        <w:gridCol w:w="882"/>
        <w:gridCol w:w="1190"/>
      </w:tblGrid>
      <w:tr w:rsidR="005777B8" w:rsidRPr="005777B8" w14:paraId="3C1E8D52" w14:textId="77777777" w:rsidTr="005777B8">
        <w:tc>
          <w:tcPr>
            <w:tcW w:w="0" w:type="auto"/>
            <w:shd w:val="clear" w:color="auto" w:fill="auto"/>
          </w:tcPr>
          <w:p w14:paraId="48AE478E" w14:textId="77777777" w:rsidR="005777B8" w:rsidRPr="005777B8" w:rsidRDefault="005777B8" w:rsidP="00222E56">
            <w:pPr>
              <w:spacing w:after="120"/>
              <w:jc w:val="both"/>
              <w:rPr>
                <w:rFonts w:ascii="Arial" w:hAnsi="Arial" w:cs="Arial"/>
                <w:b/>
                <w:sz w:val="14"/>
                <w:szCs w:val="14"/>
              </w:rPr>
            </w:pPr>
            <w:r w:rsidRPr="005777B8">
              <w:rPr>
                <w:rFonts w:ascii="Arial" w:hAnsi="Arial" w:cs="Arial"/>
                <w:b/>
                <w:sz w:val="14"/>
                <w:szCs w:val="14"/>
              </w:rPr>
              <w:t>Item</w:t>
            </w:r>
          </w:p>
        </w:tc>
        <w:tc>
          <w:tcPr>
            <w:tcW w:w="0" w:type="auto"/>
            <w:shd w:val="clear" w:color="auto" w:fill="auto"/>
          </w:tcPr>
          <w:p w14:paraId="60FBFB2F" w14:textId="77777777" w:rsidR="005777B8" w:rsidRPr="005777B8" w:rsidRDefault="005777B8" w:rsidP="00222E56">
            <w:pPr>
              <w:spacing w:after="120"/>
              <w:jc w:val="both"/>
              <w:rPr>
                <w:rFonts w:ascii="Arial" w:hAnsi="Arial" w:cs="Arial"/>
                <w:b/>
                <w:sz w:val="14"/>
                <w:szCs w:val="14"/>
              </w:rPr>
            </w:pPr>
            <w:r w:rsidRPr="005777B8">
              <w:rPr>
                <w:rFonts w:ascii="Arial" w:hAnsi="Arial" w:cs="Arial"/>
                <w:b/>
                <w:sz w:val="14"/>
                <w:szCs w:val="14"/>
              </w:rPr>
              <w:t>Especificação</w:t>
            </w:r>
          </w:p>
        </w:tc>
        <w:tc>
          <w:tcPr>
            <w:tcW w:w="0" w:type="auto"/>
            <w:shd w:val="clear" w:color="auto" w:fill="auto"/>
          </w:tcPr>
          <w:p w14:paraId="3DE029CB" w14:textId="77777777" w:rsidR="005777B8" w:rsidRPr="005777B8" w:rsidRDefault="005777B8" w:rsidP="00222E56">
            <w:pPr>
              <w:spacing w:after="120"/>
              <w:jc w:val="both"/>
              <w:rPr>
                <w:rFonts w:ascii="Arial" w:hAnsi="Arial" w:cs="Arial"/>
                <w:b/>
                <w:sz w:val="14"/>
                <w:szCs w:val="14"/>
              </w:rPr>
            </w:pPr>
            <w:r w:rsidRPr="005777B8">
              <w:rPr>
                <w:rFonts w:ascii="Arial" w:hAnsi="Arial" w:cs="Arial"/>
                <w:b/>
                <w:sz w:val="14"/>
                <w:szCs w:val="14"/>
              </w:rPr>
              <w:t>Código</w:t>
            </w:r>
          </w:p>
        </w:tc>
        <w:tc>
          <w:tcPr>
            <w:tcW w:w="0" w:type="auto"/>
            <w:shd w:val="clear" w:color="auto" w:fill="auto"/>
          </w:tcPr>
          <w:p w14:paraId="5BB023EA" w14:textId="77777777" w:rsidR="005777B8" w:rsidRPr="005777B8" w:rsidRDefault="005777B8" w:rsidP="00222E56">
            <w:pPr>
              <w:spacing w:after="120"/>
              <w:jc w:val="both"/>
              <w:rPr>
                <w:rFonts w:ascii="Arial" w:hAnsi="Arial" w:cs="Arial"/>
                <w:b/>
                <w:sz w:val="14"/>
                <w:szCs w:val="14"/>
              </w:rPr>
            </w:pPr>
            <w:r w:rsidRPr="005777B8">
              <w:rPr>
                <w:rFonts w:ascii="Arial" w:hAnsi="Arial" w:cs="Arial"/>
                <w:b/>
                <w:sz w:val="14"/>
                <w:szCs w:val="14"/>
              </w:rPr>
              <w:t>Cód. Siafisico</w:t>
            </w:r>
          </w:p>
        </w:tc>
        <w:tc>
          <w:tcPr>
            <w:tcW w:w="0" w:type="auto"/>
            <w:shd w:val="clear" w:color="auto" w:fill="auto"/>
          </w:tcPr>
          <w:p w14:paraId="0F5EB9AD" w14:textId="77777777" w:rsidR="005777B8" w:rsidRPr="005777B8" w:rsidRDefault="005777B8" w:rsidP="00222E56">
            <w:pPr>
              <w:spacing w:after="120"/>
              <w:jc w:val="both"/>
              <w:rPr>
                <w:rFonts w:ascii="Arial" w:hAnsi="Arial" w:cs="Arial"/>
                <w:b/>
                <w:sz w:val="14"/>
                <w:szCs w:val="14"/>
              </w:rPr>
            </w:pPr>
            <w:r w:rsidRPr="005777B8">
              <w:rPr>
                <w:rFonts w:ascii="Arial" w:hAnsi="Arial" w:cs="Arial"/>
                <w:b/>
                <w:sz w:val="14"/>
                <w:szCs w:val="14"/>
              </w:rPr>
              <w:t>CATMAT</w:t>
            </w:r>
          </w:p>
        </w:tc>
        <w:tc>
          <w:tcPr>
            <w:tcW w:w="0" w:type="auto"/>
            <w:shd w:val="clear" w:color="auto" w:fill="auto"/>
          </w:tcPr>
          <w:p w14:paraId="4005EA61" w14:textId="77777777" w:rsidR="005777B8" w:rsidRPr="005777B8" w:rsidRDefault="005777B8" w:rsidP="00222E56">
            <w:pPr>
              <w:spacing w:after="120"/>
              <w:jc w:val="both"/>
              <w:rPr>
                <w:rFonts w:ascii="Arial" w:hAnsi="Arial" w:cs="Arial"/>
                <w:b/>
                <w:sz w:val="14"/>
                <w:szCs w:val="14"/>
              </w:rPr>
            </w:pPr>
            <w:r w:rsidRPr="005777B8">
              <w:rPr>
                <w:rFonts w:ascii="Arial" w:hAnsi="Arial" w:cs="Arial"/>
                <w:b/>
                <w:sz w:val="14"/>
                <w:szCs w:val="14"/>
              </w:rPr>
              <w:t>Und. de medida</w:t>
            </w:r>
          </w:p>
        </w:tc>
        <w:tc>
          <w:tcPr>
            <w:tcW w:w="0" w:type="auto"/>
            <w:shd w:val="clear" w:color="auto" w:fill="auto"/>
          </w:tcPr>
          <w:p w14:paraId="3DFD5E7C" w14:textId="77777777" w:rsidR="005777B8" w:rsidRPr="005777B8" w:rsidRDefault="005777B8" w:rsidP="00222E56">
            <w:pPr>
              <w:spacing w:after="120"/>
              <w:jc w:val="both"/>
              <w:rPr>
                <w:rFonts w:ascii="Arial" w:hAnsi="Arial" w:cs="Arial"/>
                <w:b/>
                <w:sz w:val="14"/>
                <w:szCs w:val="14"/>
              </w:rPr>
            </w:pPr>
            <w:r w:rsidRPr="005777B8">
              <w:rPr>
                <w:rFonts w:ascii="Arial" w:hAnsi="Arial" w:cs="Arial"/>
                <w:b/>
                <w:sz w:val="14"/>
                <w:szCs w:val="14"/>
              </w:rPr>
              <w:t>Quantidade</w:t>
            </w:r>
          </w:p>
        </w:tc>
      </w:tr>
      <w:tr w:rsidR="005777B8" w:rsidRPr="005777B8" w14:paraId="34C2E603" w14:textId="77777777" w:rsidTr="005777B8">
        <w:tc>
          <w:tcPr>
            <w:tcW w:w="0" w:type="auto"/>
            <w:shd w:val="clear" w:color="auto" w:fill="auto"/>
          </w:tcPr>
          <w:p w14:paraId="7B204732" w14:textId="77777777" w:rsidR="005777B8" w:rsidRPr="005777B8" w:rsidRDefault="005777B8" w:rsidP="00222E56">
            <w:pPr>
              <w:spacing w:after="120"/>
              <w:jc w:val="both"/>
              <w:rPr>
                <w:rFonts w:ascii="Arial" w:hAnsi="Arial" w:cs="Arial"/>
                <w:sz w:val="14"/>
                <w:szCs w:val="14"/>
              </w:rPr>
            </w:pPr>
            <w:r w:rsidRPr="005777B8">
              <w:rPr>
                <w:rFonts w:ascii="Arial" w:hAnsi="Arial" w:cs="Arial"/>
                <w:sz w:val="14"/>
                <w:szCs w:val="14"/>
              </w:rPr>
              <w:t>1</w:t>
            </w:r>
          </w:p>
        </w:tc>
        <w:tc>
          <w:tcPr>
            <w:tcW w:w="0" w:type="auto"/>
            <w:shd w:val="clear" w:color="auto" w:fill="auto"/>
          </w:tcPr>
          <w:p w14:paraId="20584326" w14:textId="77777777" w:rsidR="005777B8" w:rsidRPr="005777B8" w:rsidRDefault="005777B8" w:rsidP="00222E56">
            <w:pPr>
              <w:spacing w:after="120"/>
              <w:jc w:val="both"/>
              <w:rPr>
                <w:rFonts w:ascii="Arial" w:hAnsi="Arial" w:cs="Arial"/>
                <w:sz w:val="14"/>
                <w:szCs w:val="14"/>
              </w:rPr>
            </w:pPr>
            <w:r w:rsidRPr="005777B8">
              <w:rPr>
                <w:rFonts w:ascii="Arial" w:hAnsi="Arial" w:cs="Arial"/>
                <w:sz w:val="14"/>
                <w:szCs w:val="14"/>
              </w:rPr>
              <w:t>AVENTAL DE PROTECAO PARA ASSISTENCIA AO PACIENTE, COR AMARELA, EM SMS, GRAMATURA MINIMA 30G/M², DIMENSOES MINIMAS DE 1,20 M DE COMPRIMENTO E 1,40 M DE LARGURA, ATOXICO, HIDRO/HEMORREPELENTE, HIPOALERGENICO, RESPIRAVEL E COM BAIXO DESPRENDIMENTO DE PARTICULAS. MANGA LONGA, PUNHO COM ELASTICO OU MALHA CANELADA; DECOTE CARECA COM ACABAMENTO EM VIES NA GOLA, COM 02 TIRAS COSTURADAS OU SELADAS,  COMPRIMENTO MINIMO DE 25 CM CADA, QUE PERMITA FECHAMENTO ADEQUADO NO PESCOCO; 02 TIRAS COSTURADAS OU SELADAS  NA CINTURA, COM COMPRIMENTO TOTAL MÍNIMO DE 1,80 M, QUE PERMITA FECHAMENTO TRANSPASSADO, PROPORCIONANDO PROTECAO TOTAL DAS COSTAS. TODAS AS COSTURAS DO AVENTAL COM ACABAMENTO EM OVERLOQUE OU SELADA.  EMBALAGEM QUE GARANTA A INTEGRIDADE DO PRODUTO, EM CONFORMIDADE COM A LEGISLACAO VIGENTE-  ANVISA; ANEXAR LAUDO DE GRAMATURA E LAUDO DE BFE, AMBOS DE NO MAXIMO 02 ANOS.</w:t>
            </w:r>
          </w:p>
        </w:tc>
        <w:tc>
          <w:tcPr>
            <w:tcW w:w="0" w:type="auto"/>
            <w:shd w:val="clear" w:color="auto" w:fill="auto"/>
          </w:tcPr>
          <w:p w14:paraId="7514D78D" w14:textId="77777777" w:rsidR="005777B8" w:rsidRPr="005777B8" w:rsidRDefault="005777B8" w:rsidP="00222E56">
            <w:pPr>
              <w:spacing w:after="120"/>
              <w:jc w:val="both"/>
              <w:rPr>
                <w:rFonts w:ascii="Arial" w:hAnsi="Arial" w:cs="Arial"/>
                <w:sz w:val="14"/>
                <w:szCs w:val="14"/>
              </w:rPr>
            </w:pPr>
            <w:r w:rsidRPr="005777B8">
              <w:rPr>
                <w:rFonts w:ascii="Arial" w:hAnsi="Arial" w:cs="Arial"/>
                <w:sz w:val="14"/>
                <w:szCs w:val="14"/>
              </w:rPr>
              <w:t>61230140</w:t>
            </w:r>
          </w:p>
        </w:tc>
        <w:tc>
          <w:tcPr>
            <w:tcW w:w="0" w:type="auto"/>
            <w:shd w:val="clear" w:color="auto" w:fill="auto"/>
          </w:tcPr>
          <w:p w14:paraId="3B9E38C1" w14:textId="77777777" w:rsidR="005777B8" w:rsidRPr="005777B8" w:rsidRDefault="005777B8" w:rsidP="00222E56">
            <w:pPr>
              <w:spacing w:after="120"/>
              <w:jc w:val="both"/>
              <w:rPr>
                <w:rFonts w:ascii="Arial" w:hAnsi="Arial" w:cs="Arial"/>
                <w:sz w:val="14"/>
                <w:szCs w:val="14"/>
              </w:rPr>
            </w:pPr>
            <w:r w:rsidRPr="005777B8">
              <w:rPr>
                <w:rFonts w:ascii="Arial" w:hAnsi="Arial" w:cs="Arial"/>
                <w:sz w:val="14"/>
                <w:szCs w:val="14"/>
              </w:rPr>
              <w:t>5022231</w:t>
            </w:r>
          </w:p>
        </w:tc>
        <w:tc>
          <w:tcPr>
            <w:tcW w:w="0" w:type="auto"/>
            <w:shd w:val="clear" w:color="auto" w:fill="auto"/>
          </w:tcPr>
          <w:p w14:paraId="3FF419C2" w14:textId="77777777" w:rsidR="005777B8" w:rsidRPr="005777B8" w:rsidRDefault="005777B8" w:rsidP="00222E56">
            <w:pPr>
              <w:spacing w:after="120"/>
              <w:jc w:val="both"/>
              <w:rPr>
                <w:rFonts w:ascii="Arial" w:hAnsi="Arial" w:cs="Arial"/>
                <w:sz w:val="14"/>
                <w:szCs w:val="14"/>
              </w:rPr>
            </w:pPr>
            <w:r w:rsidRPr="005777B8">
              <w:rPr>
                <w:rFonts w:ascii="Arial" w:hAnsi="Arial" w:cs="Arial"/>
                <w:sz w:val="14"/>
                <w:szCs w:val="14"/>
              </w:rPr>
              <w:t>604955</w:t>
            </w:r>
          </w:p>
        </w:tc>
        <w:tc>
          <w:tcPr>
            <w:tcW w:w="0" w:type="auto"/>
            <w:shd w:val="clear" w:color="auto" w:fill="auto"/>
          </w:tcPr>
          <w:p w14:paraId="128CF28F" w14:textId="77777777" w:rsidR="005777B8" w:rsidRPr="005777B8" w:rsidRDefault="005777B8" w:rsidP="00222E56">
            <w:pPr>
              <w:spacing w:after="120"/>
              <w:jc w:val="both"/>
              <w:rPr>
                <w:rFonts w:ascii="Arial" w:hAnsi="Arial" w:cs="Arial"/>
                <w:sz w:val="14"/>
                <w:szCs w:val="14"/>
              </w:rPr>
            </w:pPr>
            <w:r w:rsidRPr="005777B8">
              <w:rPr>
                <w:rFonts w:ascii="Arial" w:hAnsi="Arial" w:cs="Arial"/>
                <w:sz w:val="14"/>
                <w:szCs w:val="14"/>
              </w:rPr>
              <w:t>UNIDADE</w:t>
            </w:r>
          </w:p>
        </w:tc>
        <w:tc>
          <w:tcPr>
            <w:tcW w:w="0" w:type="auto"/>
            <w:shd w:val="clear" w:color="auto" w:fill="auto"/>
          </w:tcPr>
          <w:p w14:paraId="44420B93" w14:textId="77777777" w:rsidR="005777B8" w:rsidRPr="005777B8" w:rsidRDefault="005777B8" w:rsidP="00222E56">
            <w:pPr>
              <w:spacing w:after="120"/>
              <w:jc w:val="both"/>
              <w:rPr>
                <w:rFonts w:ascii="Arial" w:hAnsi="Arial" w:cs="Arial"/>
                <w:sz w:val="14"/>
                <w:szCs w:val="14"/>
              </w:rPr>
            </w:pPr>
            <w:r w:rsidRPr="005777B8">
              <w:rPr>
                <w:rFonts w:ascii="Arial" w:hAnsi="Arial" w:cs="Arial"/>
                <w:sz w:val="14"/>
                <w:szCs w:val="14"/>
              </w:rPr>
              <w:t>1.073.668,0000</w:t>
            </w:r>
          </w:p>
        </w:tc>
      </w:tr>
    </w:tbl>
    <w:p w14:paraId="28E30F5A" w14:textId="77777777" w:rsidR="005777B8" w:rsidRDefault="005777B8" w:rsidP="005777B8">
      <w:pPr>
        <w:spacing w:after="206"/>
      </w:pPr>
      <w:r>
        <w:rPr>
          <w:rFonts w:ascii="Calibri" w:eastAsia="Calibri" w:hAnsi="Calibri" w:cs="Calibri"/>
          <w:sz w:val="18"/>
        </w:rPr>
        <w:t xml:space="preserve"> </w:t>
      </w:r>
    </w:p>
    <w:p w14:paraId="29D0AEF0" w14:textId="77777777" w:rsidR="005777B8" w:rsidRDefault="005777B8" w:rsidP="005777B8">
      <w:pPr>
        <w:spacing w:after="678" w:line="294" w:lineRule="auto"/>
        <w:ind w:left="-5" w:hanging="10"/>
        <w:jc w:val="both"/>
      </w:pPr>
      <w:r>
        <w:rPr>
          <w:rFonts w:ascii="Arial" w:eastAsia="Arial" w:hAnsi="Arial" w:cs="Arial"/>
          <w:sz w:val="20"/>
        </w:rPr>
        <w:t>O(s) item(ns) integra(m o rol de materiais básicos, fundamentais e de uso corrente nas várias unidades e rotinas hospitalares, tratando-se, portanto, de contratação de grande importância.</w:t>
      </w:r>
    </w:p>
    <w:p w14:paraId="45D3EC5A" w14:textId="77777777" w:rsidR="005777B8" w:rsidRPr="005777B8" w:rsidRDefault="005777B8" w:rsidP="005777B8">
      <w:pPr>
        <w:spacing w:after="198"/>
        <w:ind w:left="-5" w:hanging="10"/>
        <w:rPr>
          <w:rFonts w:ascii="Calibri" w:eastAsia="Calibri" w:hAnsi="Calibri" w:cs="Calibri"/>
          <w:b/>
        </w:rPr>
      </w:pPr>
      <w:r w:rsidRPr="005777B8">
        <w:rPr>
          <w:rFonts w:ascii="Calibri" w:eastAsia="Calibri" w:hAnsi="Calibri" w:cs="Calibri"/>
          <w:b/>
        </w:rPr>
        <w:t>3. Área requisitante</w:t>
      </w:r>
    </w:p>
    <w:tbl>
      <w:tblPr>
        <w:tblStyle w:val="TableGrid"/>
        <w:tblW w:w="11038" w:type="dxa"/>
        <w:tblInd w:w="30" w:type="dxa"/>
        <w:tblLook w:val="04A0" w:firstRow="1" w:lastRow="0" w:firstColumn="1" w:lastColumn="0" w:noHBand="0" w:noVBand="1"/>
      </w:tblPr>
      <w:tblGrid>
        <w:gridCol w:w="5504"/>
        <w:gridCol w:w="11473"/>
      </w:tblGrid>
      <w:tr w:rsidR="005777B8" w14:paraId="69CB5200" w14:textId="77777777" w:rsidTr="00222E56">
        <w:trPr>
          <w:trHeight w:val="266"/>
        </w:trPr>
        <w:tc>
          <w:tcPr>
            <w:tcW w:w="5519" w:type="dxa"/>
            <w:tcBorders>
              <w:top w:val="nil"/>
              <w:left w:val="nil"/>
              <w:bottom w:val="nil"/>
              <w:right w:val="nil"/>
            </w:tcBorders>
          </w:tcPr>
          <w:p w14:paraId="6E1F1741" w14:textId="77777777" w:rsidR="005777B8" w:rsidRDefault="005777B8" w:rsidP="00222E56">
            <w:pPr>
              <w:ind w:left="-434" w:right="15"/>
            </w:pPr>
          </w:p>
          <w:tbl>
            <w:tblPr>
              <w:tblStyle w:val="TableGrid"/>
              <w:tblW w:w="5504" w:type="dxa"/>
              <w:tblInd w:w="0" w:type="dxa"/>
              <w:tblCellMar>
                <w:top w:w="36" w:type="dxa"/>
                <w:left w:w="115" w:type="dxa"/>
                <w:right w:w="115" w:type="dxa"/>
              </w:tblCellMar>
              <w:tblLook w:val="04A0" w:firstRow="1" w:lastRow="0" w:firstColumn="1" w:lastColumn="0" w:noHBand="0" w:noVBand="1"/>
            </w:tblPr>
            <w:tblGrid>
              <w:gridCol w:w="5504"/>
            </w:tblGrid>
            <w:tr w:rsidR="005777B8" w14:paraId="61744EA0" w14:textId="77777777" w:rsidTr="00222E56">
              <w:trPr>
                <w:trHeight w:val="266"/>
              </w:trPr>
              <w:tc>
                <w:tcPr>
                  <w:tcW w:w="5504" w:type="dxa"/>
                  <w:tcBorders>
                    <w:top w:val="nil"/>
                    <w:left w:val="nil"/>
                    <w:bottom w:val="nil"/>
                    <w:right w:val="nil"/>
                  </w:tcBorders>
                  <w:shd w:val="clear" w:color="auto" w:fill="CCCCCC"/>
                </w:tcPr>
                <w:p w14:paraId="39CBFB4B" w14:textId="77777777" w:rsidR="005777B8" w:rsidRDefault="005777B8" w:rsidP="00222E56">
                  <w:pPr>
                    <w:jc w:val="center"/>
                  </w:pPr>
                  <w:r>
                    <w:rPr>
                      <w:rFonts w:ascii="Calibri" w:eastAsia="Calibri" w:hAnsi="Calibri" w:cs="Calibri"/>
                      <w:b/>
                      <w:sz w:val="18"/>
                    </w:rPr>
                    <w:t>Área Requisitante</w:t>
                  </w:r>
                </w:p>
              </w:tc>
            </w:tr>
          </w:tbl>
          <w:p w14:paraId="45F93CEC" w14:textId="77777777" w:rsidR="005777B8" w:rsidRDefault="005777B8" w:rsidP="00222E56"/>
        </w:tc>
        <w:tc>
          <w:tcPr>
            <w:tcW w:w="5519" w:type="dxa"/>
            <w:tcBorders>
              <w:top w:val="nil"/>
              <w:left w:val="nil"/>
              <w:bottom w:val="nil"/>
              <w:right w:val="nil"/>
            </w:tcBorders>
          </w:tcPr>
          <w:p w14:paraId="05A2F9B0" w14:textId="77777777" w:rsidR="005777B8" w:rsidRDefault="005777B8" w:rsidP="00222E56">
            <w:pPr>
              <w:ind w:left="-5953" w:right="11472"/>
            </w:pPr>
          </w:p>
          <w:tbl>
            <w:tblPr>
              <w:tblStyle w:val="TableGrid"/>
              <w:tblW w:w="5504" w:type="dxa"/>
              <w:tblInd w:w="15" w:type="dxa"/>
              <w:tblCellMar>
                <w:top w:w="36" w:type="dxa"/>
                <w:left w:w="115" w:type="dxa"/>
                <w:right w:w="115" w:type="dxa"/>
              </w:tblCellMar>
              <w:tblLook w:val="04A0" w:firstRow="1" w:lastRow="0" w:firstColumn="1" w:lastColumn="0" w:noHBand="0" w:noVBand="1"/>
            </w:tblPr>
            <w:tblGrid>
              <w:gridCol w:w="5504"/>
            </w:tblGrid>
            <w:tr w:rsidR="005777B8" w14:paraId="49D448B9" w14:textId="77777777" w:rsidTr="00222E56">
              <w:trPr>
                <w:trHeight w:val="266"/>
              </w:trPr>
              <w:tc>
                <w:tcPr>
                  <w:tcW w:w="5504" w:type="dxa"/>
                  <w:tcBorders>
                    <w:top w:val="nil"/>
                    <w:left w:val="nil"/>
                    <w:bottom w:val="nil"/>
                    <w:right w:val="nil"/>
                  </w:tcBorders>
                  <w:shd w:val="clear" w:color="auto" w:fill="CCCCCC"/>
                </w:tcPr>
                <w:p w14:paraId="58518125" w14:textId="77777777" w:rsidR="005777B8" w:rsidRDefault="005777B8" w:rsidP="00222E56">
                  <w:pPr>
                    <w:ind w:right="1"/>
                    <w:jc w:val="center"/>
                  </w:pPr>
                  <w:r>
                    <w:rPr>
                      <w:rFonts w:ascii="Calibri" w:eastAsia="Calibri" w:hAnsi="Calibri" w:cs="Calibri"/>
                      <w:b/>
                      <w:sz w:val="18"/>
                    </w:rPr>
                    <w:t>Responsável</w:t>
                  </w:r>
                </w:p>
              </w:tc>
            </w:tr>
          </w:tbl>
          <w:p w14:paraId="6FF6CAB4" w14:textId="77777777" w:rsidR="005777B8" w:rsidRDefault="005777B8" w:rsidP="00222E56"/>
        </w:tc>
      </w:tr>
    </w:tbl>
    <w:p w14:paraId="3815B885" w14:textId="19052A22" w:rsidR="005777B8" w:rsidRDefault="005777B8" w:rsidP="005777B8">
      <w:pPr>
        <w:tabs>
          <w:tab w:val="center" w:pos="8023"/>
        </w:tabs>
        <w:spacing w:after="723" w:line="262" w:lineRule="auto"/>
        <w:ind w:left="-15"/>
      </w:pPr>
      <w:r>
        <w:rPr>
          <w:rFonts w:ascii="Calibri" w:eastAsia="Calibri" w:hAnsi="Calibri" w:cs="Calibri"/>
          <w:sz w:val="18"/>
        </w:rPr>
        <w:t xml:space="preserve">   Equipe de Suprimentos do HCFMUSP </w:t>
      </w:r>
      <w:r>
        <w:rPr>
          <w:rFonts w:ascii="Calibri" w:eastAsia="Calibri" w:hAnsi="Calibri" w:cs="Calibri"/>
          <w:sz w:val="18"/>
        </w:rPr>
        <w:tab/>
        <w:t xml:space="preserve">   ICHC, SUP, IPQ, IOT, INRAD, IPER, ICR, IMREA, INCOR, LIM</w:t>
      </w:r>
    </w:p>
    <w:p w14:paraId="34549D16" w14:textId="77777777" w:rsidR="005777B8" w:rsidRPr="005777B8" w:rsidRDefault="005777B8" w:rsidP="005777B8">
      <w:pPr>
        <w:spacing w:after="198"/>
        <w:ind w:left="-5" w:hanging="10"/>
        <w:rPr>
          <w:rFonts w:ascii="Calibri" w:eastAsia="Calibri" w:hAnsi="Calibri" w:cs="Calibri"/>
          <w:b/>
        </w:rPr>
      </w:pPr>
      <w:r w:rsidRPr="005777B8">
        <w:rPr>
          <w:rFonts w:ascii="Calibri" w:eastAsia="Calibri" w:hAnsi="Calibri" w:cs="Calibri"/>
          <w:b/>
        </w:rPr>
        <w:t>4. Descrição dos Requisitos da Contratação</w:t>
      </w:r>
    </w:p>
    <w:p w14:paraId="2D1B1582" w14:textId="77777777" w:rsidR="005777B8" w:rsidRPr="005777B8" w:rsidRDefault="005777B8" w:rsidP="005777B8">
      <w:pPr>
        <w:spacing w:after="198"/>
        <w:ind w:left="-5" w:hanging="10"/>
        <w:rPr>
          <w:rFonts w:ascii="Calibri" w:eastAsia="Calibri" w:hAnsi="Calibri" w:cs="Calibri"/>
          <w:b/>
        </w:rPr>
      </w:pPr>
      <w:r>
        <w:t xml:space="preserve"> </w:t>
      </w:r>
      <w:r w:rsidRPr="005777B8">
        <w:rPr>
          <w:rFonts w:ascii="Calibri" w:eastAsia="Calibri" w:hAnsi="Calibri" w:cs="Calibri"/>
          <w:b/>
        </w:rPr>
        <w:t>Comprovação de registro do objeto licitado concedido pelo órgão sanitário competente do Ministério da Saúde;</w:t>
      </w:r>
    </w:p>
    <w:p w14:paraId="0314DEC4" w14:textId="77777777" w:rsidR="005777B8" w:rsidRDefault="005777B8" w:rsidP="005777B8">
      <w:pPr>
        <w:spacing w:after="199" w:line="256" w:lineRule="auto"/>
        <w:ind w:left="130" w:hanging="10"/>
        <w:jc w:val="both"/>
      </w:pPr>
      <w:r>
        <w:rPr>
          <w:rFonts w:ascii="Calibri" w:eastAsia="Calibri" w:hAnsi="Calibri" w:cs="Calibri"/>
          <w:sz w:val="18"/>
        </w:rPr>
        <w:t>Estando o registro informado na alínea “a” vencido, a licitante deverá anexar cópia autenticada da solicitação de sua revalidação, acompanhada de cópia do registro vencido. A não apresentação do registro e do pedido de revalidação do produto (protocolo) implicará na desclassificação do item cotado;</w:t>
      </w:r>
    </w:p>
    <w:p w14:paraId="52B2C411" w14:textId="77777777" w:rsidR="005777B8" w:rsidRDefault="005777B8" w:rsidP="005777B8">
      <w:pPr>
        <w:spacing w:after="199" w:line="256" w:lineRule="auto"/>
        <w:ind w:left="130" w:hanging="10"/>
        <w:jc w:val="both"/>
      </w:pPr>
      <w:r>
        <w:rPr>
          <w:rFonts w:ascii="Calibri" w:eastAsia="Calibri" w:hAnsi="Calibri" w:cs="Calibri"/>
          <w:sz w:val="18"/>
        </w:rPr>
        <w:t>Deverá ser anexada cópia do respectivo ato formal dispensando o registro, se for o caso;</w:t>
      </w:r>
    </w:p>
    <w:p w14:paraId="2F18A93B" w14:textId="77777777" w:rsidR="005777B8" w:rsidRDefault="005777B8" w:rsidP="005777B8">
      <w:pPr>
        <w:spacing w:after="199" w:line="256" w:lineRule="auto"/>
        <w:ind w:left="130" w:hanging="10"/>
        <w:jc w:val="both"/>
      </w:pPr>
      <w:r>
        <w:rPr>
          <w:rFonts w:ascii="Calibri" w:eastAsia="Calibri" w:hAnsi="Calibri" w:cs="Calibri"/>
          <w:sz w:val="18"/>
        </w:rPr>
        <w:t>O prazo de validade do produto será contado da data da entrega pelo fornecedor em nossos almoxarifados. Os casos excepcionais, desde que devidamente justificados e comprovados documentalmente, serão analisados pelo Núcleo de Infraestrutura e Logística – NILO, que poderá estipular requisitos para autorizar as entregas.</w:t>
      </w:r>
    </w:p>
    <w:p w14:paraId="6020F9E0" w14:textId="77777777" w:rsidR="005777B8" w:rsidRDefault="005777B8" w:rsidP="005777B8">
      <w:pPr>
        <w:spacing w:after="199" w:line="256" w:lineRule="auto"/>
        <w:ind w:left="130" w:hanging="10"/>
        <w:jc w:val="both"/>
      </w:pPr>
      <w:r>
        <w:rPr>
          <w:rFonts w:ascii="Calibri" w:eastAsia="Calibri" w:hAnsi="Calibri" w:cs="Calibri"/>
          <w:sz w:val="18"/>
        </w:rPr>
        <w:lastRenderedPageBreak/>
        <w:t>Por ocasião da entrega na unidade requisitante do HCFMUSP, os produtos com validade igual ou inferior a 12 (doze) meses a partir da data de  fabricação, deverão apresentar validade de no mínimo 2/3 (dois terços) do prazo de validade total.</w:t>
      </w:r>
    </w:p>
    <w:p w14:paraId="6C1EDE1D" w14:textId="77777777" w:rsidR="005777B8" w:rsidRDefault="005777B8" w:rsidP="005777B8">
      <w:pPr>
        <w:spacing w:after="199" w:line="256" w:lineRule="auto"/>
        <w:ind w:left="130" w:hanging="10"/>
        <w:jc w:val="both"/>
      </w:pPr>
      <w:r>
        <w:rPr>
          <w:rFonts w:ascii="Calibri" w:eastAsia="Calibri" w:hAnsi="Calibri" w:cs="Calibri"/>
          <w:sz w:val="18"/>
        </w:rPr>
        <w:t>Por ocasião da entrega na unidade requisitante do HCFMUSP,  os produtos com validade maior que 12 (doze) meses a partir da data de fabricação, deverão ser entregues com prazo de validade de no mínimo de 12 (doze) meses.</w:t>
      </w:r>
    </w:p>
    <w:p w14:paraId="773BF345" w14:textId="77777777" w:rsidR="005777B8" w:rsidRDefault="005777B8" w:rsidP="005777B8">
      <w:pPr>
        <w:spacing w:after="205"/>
        <w:ind w:left="135"/>
      </w:pPr>
      <w:r>
        <w:rPr>
          <w:rFonts w:ascii="Calibri" w:eastAsia="Calibri" w:hAnsi="Calibri" w:cs="Calibri"/>
          <w:sz w:val="18"/>
        </w:rPr>
        <w:t xml:space="preserve"> </w:t>
      </w:r>
    </w:p>
    <w:p w14:paraId="51F09E45" w14:textId="77777777" w:rsidR="005777B8" w:rsidRPr="005777B8" w:rsidRDefault="005777B8" w:rsidP="005777B8">
      <w:pPr>
        <w:spacing w:after="198"/>
        <w:ind w:left="-5" w:hanging="10"/>
        <w:rPr>
          <w:rFonts w:ascii="Calibri" w:eastAsia="Calibri" w:hAnsi="Calibri" w:cs="Calibri"/>
          <w:b/>
        </w:rPr>
      </w:pPr>
      <w:r w:rsidRPr="005777B8">
        <w:rPr>
          <w:rFonts w:ascii="Calibri" w:eastAsia="Calibri" w:hAnsi="Calibri" w:cs="Calibri"/>
          <w:b/>
        </w:rPr>
        <w:t>SUSTENTABILIDADE</w:t>
      </w:r>
    </w:p>
    <w:p w14:paraId="16F48ED1" w14:textId="77777777" w:rsidR="005777B8" w:rsidRDefault="005777B8" w:rsidP="005777B8">
      <w:pPr>
        <w:spacing w:after="2" w:line="256" w:lineRule="auto"/>
        <w:ind w:left="130" w:hanging="10"/>
        <w:jc w:val="both"/>
      </w:pPr>
      <w:r>
        <w:rPr>
          <w:rFonts w:ascii="Calibri" w:eastAsia="Calibri" w:hAnsi="Calibri" w:cs="Calibri"/>
          <w:sz w:val="18"/>
        </w:rPr>
        <w:t>4.1. Só será admitida a oferta de produto previamente notificado/registrado na ANVISA, conforme a Lei nº 6.360, de 1976 e Decreto nº</w:t>
      </w:r>
    </w:p>
    <w:p w14:paraId="3F17A1EC" w14:textId="77777777" w:rsidR="005777B8" w:rsidRDefault="005777B8" w:rsidP="005777B8">
      <w:pPr>
        <w:spacing w:after="199" w:line="256" w:lineRule="auto"/>
        <w:ind w:left="130" w:hanging="10"/>
        <w:jc w:val="both"/>
      </w:pPr>
      <w:r>
        <w:rPr>
          <w:rFonts w:ascii="Calibri" w:eastAsia="Calibri" w:hAnsi="Calibri" w:cs="Calibri"/>
          <w:sz w:val="18"/>
        </w:rPr>
        <w:t>8.077, de 2013.</w:t>
      </w:r>
    </w:p>
    <w:p w14:paraId="08ABA4D8" w14:textId="77777777" w:rsidR="005777B8" w:rsidRDefault="005777B8" w:rsidP="005777B8">
      <w:pPr>
        <w:spacing w:after="199" w:line="256" w:lineRule="auto"/>
        <w:ind w:left="130" w:hanging="10"/>
        <w:jc w:val="both"/>
      </w:pPr>
      <w:r>
        <w:rPr>
          <w:rFonts w:ascii="Calibri" w:eastAsia="Calibri" w:hAnsi="Calibri" w:cs="Calibri"/>
          <w:sz w:val="18"/>
        </w:rPr>
        <w:t>4.2. Na instituição há equipe dedicada ao serviço de gerenciamento de resíduos hospitalares, com processos e fluxos estabelecidos com base na legislação pertinente, de modo a realizar este trabalho de evitar impactos ambientais.</w:t>
      </w:r>
    </w:p>
    <w:p w14:paraId="3BDF983C" w14:textId="77777777" w:rsidR="005777B8" w:rsidRDefault="005777B8" w:rsidP="005777B8">
      <w:pPr>
        <w:spacing w:after="205"/>
        <w:ind w:left="60"/>
      </w:pPr>
      <w:r>
        <w:rPr>
          <w:rFonts w:ascii="Calibri" w:eastAsia="Calibri" w:hAnsi="Calibri" w:cs="Calibri"/>
          <w:sz w:val="18"/>
        </w:rPr>
        <w:t xml:space="preserve"> </w:t>
      </w:r>
    </w:p>
    <w:p w14:paraId="0BDFFE42" w14:textId="77777777" w:rsidR="005777B8" w:rsidRPr="005777B8" w:rsidRDefault="005777B8" w:rsidP="005777B8">
      <w:pPr>
        <w:spacing w:after="198"/>
        <w:ind w:left="-5" w:hanging="10"/>
        <w:rPr>
          <w:rFonts w:ascii="Calibri" w:eastAsia="Calibri" w:hAnsi="Calibri" w:cs="Calibri"/>
          <w:b/>
        </w:rPr>
      </w:pPr>
      <w:r w:rsidRPr="005777B8">
        <w:rPr>
          <w:rFonts w:ascii="Calibri" w:eastAsia="Calibri" w:hAnsi="Calibri" w:cs="Calibri"/>
          <w:b/>
        </w:rPr>
        <w:t xml:space="preserve">GARANTIA DA CONTRATAÇÃO </w:t>
      </w:r>
    </w:p>
    <w:p w14:paraId="2B29CFE4" w14:textId="77777777" w:rsidR="005777B8" w:rsidRDefault="005777B8" w:rsidP="005777B8">
      <w:pPr>
        <w:spacing w:after="729" w:line="256" w:lineRule="auto"/>
        <w:ind w:left="70" w:hanging="10"/>
        <w:jc w:val="both"/>
      </w:pPr>
      <w:r>
        <w:rPr>
          <w:rFonts w:ascii="Calibri" w:eastAsia="Calibri" w:hAnsi="Calibri" w:cs="Calibri"/>
          <w:sz w:val="18"/>
        </w:rPr>
        <w:t>4.3. Não haverá exigência da garantia da contratação dos artigos 96 e seguintes da Lei nº 14.133, de 2021, pelas razões constantes do Estudo Técnico Preliminar.</w:t>
      </w:r>
    </w:p>
    <w:p w14:paraId="7E193438" w14:textId="77777777" w:rsidR="005777B8" w:rsidRPr="005777B8" w:rsidRDefault="005777B8" w:rsidP="005777B8">
      <w:pPr>
        <w:spacing w:after="198"/>
        <w:ind w:left="-5" w:hanging="10"/>
        <w:rPr>
          <w:rFonts w:ascii="Calibri" w:eastAsia="Calibri" w:hAnsi="Calibri" w:cs="Calibri"/>
          <w:b/>
        </w:rPr>
      </w:pPr>
      <w:r w:rsidRPr="005777B8">
        <w:rPr>
          <w:rFonts w:ascii="Calibri" w:eastAsia="Calibri" w:hAnsi="Calibri" w:cs="Calibri"/>
          <w:b/>
        </w:rPr>
        <w:t>5. Levantamento de Mercado</w:t>
      </w:r>
    </w:p>
    <w:p w14:paraId="27F532BE" w14:textId="77777777" w:rsidR="005777B8" w:rsidRDefault="005777B8" w:rsidP="005777B8">
      <w:pPr>
        <w:spacing w:after="723" w:line="262" w:lineRule="auto"/>
        <w:ind w:left="-5" w:hanging="10"/>
        <w:jc w:val="both"/>
      </w:pPr>
      <w:r>
        <w:rPr>
          <w:rFonts w:ascii="Calibri" w:eastAsia="Calibri" w:hAnsi="Calibri" w:cs="Calibri"/>
          <w:sz w:val="18"/>
        </w:rPr>
        <w:t>Foi feita a pesquisa em empresas especializadas no fornecimento de material de consumo, visando avaliar a disponibilidade atual do produto no mercado. Também foram analisadas compras governamentais, a partir das quais foram analisados os editais e atas de pregões de contratações similares; além do contabiliza e IPCFIP.</w:t>
      </w:r>
    </w:p>
    <w:p w14:paraId="04A87A2B" w14:textId="77777777" w:rsidR="005777B8" w:rsidRPr="005777B8" w:rsidRDefault="005777B8" w:rsidP="005777B8">
      <w:pPr>
        <w:spacing w:after="198"/>
        <w:ind w:left="-5" w:hanging="10"/>
        <w:rPr>
          <w:rFonts w:ascii="Calibri" w:eastAsia="Calibri" w:hAnsi="Calibri" w:cs="Calibri"/>
          <w:b/>
        </w:rPr>
      </w:pPr>
      <w:r w:rsidRPr="005777B8">
        <w:rPr>
          <w:rFonts w:ascii="Calibri" w:eastAsia="Calibri" w:hAnsi="Calibri" w:cs="Calibri"/>
          <w:b/>
        </w:rPr>
        <w:t>6. Descrição da solução como um todo</w:t>
      </w:r>
    </w:p>
    <w:p w14:paraId="4E63809D" w14:textId="77777777" w:rsidR="005777B8" w:rsidRDefault="005777B8" w:rsidP="005777B8">
      <w:pPr>
        <w:spacing w:after="166" w:line="294" w:lineRule="auto"/>
        <w:ind w:left="-5" w:hanging="10"/>
        <w:jc w:val="both"/>
      </w:pPr>
      <w:r>
        <w:rPr>
          <w:rFonts w:ascii="Arial" w:eastAsia="Arial" w:hAnsi="Arial" w:cs="Arial"/>
          <w:sz w:val="20"/>
        </w:rPr>
        <w:t>A aquisição dos produtos se dará por meio da modalidade Pregão Eletrônico - Sistema de Registro de Preço.  A modalidade pretendida confere vantagens para administração pública, tendo em vista haver a necessidade de contratações permanentes ou frequentes do objeto, com previsão de entregas parceladas, mediante as demandas efetivas das áreas usuárias, evitando perdas de produto e/ou financeiras.</w:t>
      </w:r>
    </w:p>
    <w:p w14:paraId="5A49DB54" w14:textId="77777777" w:rsidR="005777B8" w:rsidRPr="005777B8" w:rsidRDefault="005777B8" w:rsidP="005777B8">
      <w:pPr>
        <w:spacing w:after="235"/>
        <w:rPr>
          <w:rFonts w:ascii="Arial" w:eastAsia="Arial" w:hAnsi="Arial" w:cs="Arial"/>
          <w:sz w:val="20"/>
        </w:rPr>
      </w:pPr>
      <w:r>
        <w:rPr>
          <w:rFonts w:ascii="Calibri" w:eastAsia="Calibri" w:hAnsi="Calibri" w:cs="Calibri"/>
          <w:sz w:val="18"/>
        </w:rPr>
        <w:t xml:space="preserve"> </w:t>
      </w:r>
    </w:p>
    <w:p w14:paraId="5E700C9E" w14:textId="77777777" w:rsidR="005777B8" w:rsidRPr="005777B8" w:rsidRDefault="005777B8" w:rsidP="005777B8">
      <w:pPr>
        <w:spacing w:after="163" w:line="269" w:lineRule="auto"/>
        <w:rPr>
          <w:rFonts w:ascii="Arial" w:eastAsia="Arial" w:hAnsi="Arial" w:cs="Arial"/>
          <w:sz w:val="20"/>
        </w:rPr>
      </w:pPr>
      <w:r w:rsidRPr="005777B8">
        <w:rPr>
          <w:rFonts w:ascii="Arial" w:eastAsia="Arial" w:hAnsi="Arial" w:cs="Arial"/>
          <w:sz w:val="20"/>
        </w:rPr>
        <w:t>Visa substituir atual ata de registro de preço, conforme histórico de processos vigentes, com validade de 12 meses.</w:t>
      </w:r>
    </w:p>
    <w:p w14:paraId="0BA0E0D8" w14:textId="77777777" w:rsidR="005777B8" w:rsidRPr="005777B8" w:rsidRDefault="005777B8" w:rsidP="005777B8">
      <w:pPr>
        <w:spacing w:after="235"/>
        <w:rPr>
          <w:rFonts w:ascii="Arial" w:eastAsia="Arial" w:hAnsi="Arial" w:cs="Arial"/>
          <w:sz w:val="20"/>
        </w:rPr>
      </w:pPr>
      <w:r w:rsidRPr="005777B8">
        <w:rPr>
          <w:rFonts w:ascii="Arial" w:eastAsia="Arial" w:hAnsi="Arial" w:cs="Arial"/>
          <w:sz w:val="20"/>
        </w:rPr>
        <w:t xml:space="preserve"> </w:t>
      </w:r>
    </w:p>
    <w:p w14:paraId="35DE70F9" w14:textId="77777777" w:rsidR="005777B8" w:rsidRPr="005777B8" w:rsidRDefault="005777B8" w:rsidP="005777B8">
      <w:pPr>
        <w:spacing w:after="166" w:line="294" w:lineRule="auto"/>
        <w:ind w:left="-5" w:hanging="10"/>
        <w:jc w:val="both"/>
        <w:rPr>
          <w:rFonts w:ascii="Arial" w:eastAsia="Arial" w:hAnsi="Arial" w:cs="Arial"/>
          <w:sz w:val="20"/>
        </w:rPr>
      </w:pPr>
      <w:r>
        <w:rPr>
          <w:rFonts w:ascii="Arial" w:eastAsia="Arial" w:hAnsi="Arial" w:cs="Arial"/>
          <w:sz w:val="20"/>
        </w:rPr>
        <w:t>Os fornecedores que assinarem a Ata de Registro de Preços estarão obrigados a celebrar as contratações.</w:t>
      </w:r>
    </w:p>
    <w:p w14:paraId="31A0C445" w14:textId="77777777" w:rsidR="005777B8" w:rsidRPr="005777B8" w:rsidRDefault="005777B8" w:rsidP="005777B8">
      <w:pPr>
        <w:spacing w:after="0"/>
        <w:rPr>
          <w:rFonts w:ascii="Arial" w:eastAsia="Arial" w:hAnsi="Arial" w:cs="Arial"/>
          <w:sz w:val="20"/>
        </w:rPr>
      </w:pPr>
      <w:r w:rsidRPr="005777B8">
        <w:rPr>
          <w:rFonts w:ascii="Arial" w:eastAsia="Arial" w:hAnsi="Arial" w:cs="Arial"/>
          <w:sz w:val="20"/>
        </w:rPr>
        <w:t xml:space="preserve"> </w:t>
      </w:r>
    </w:p>
    <w:p w14:paraId="7F964D4D" w14:textId="77777777" w:rsidR="005777B8" w:rsidRPr="005777B8" w:rsidRDefault="005777B8" w:rsidP="005777B8">
      <w:pPr>
        <w:spacing w:after="166" w:line="294" w:lineRule="auto"/>
        <w:ind w:left="-5" w:hanging="10"/>
        <w:jc w:val="both"/>
        <w:rPr>
          <w:rFonts w:ascii="Arial" w:eastAsia="Arial" w:hAnsi="Arial" w:cs="Arial"/>
          <w:sz w:val="20"/>
        </w:rPr>
      </w:pPr>
      <w:r>
        <w:rPr>
          <w:rFonts w:ascii="Arial" w:eastAsia="Arial" w:hAnsi="Arial" w:cs="Arial"/>
          <w:sz w:val="20"/>
        </w:rPr>
        <w:t>A existência de preços registrados não obriga a Administração a firmar as contratações decorrentes da Ata de Registro de Preços, ficando-lhe facultada à utilização de outros meios, respeitada a legislação relativa às licitações, sendo assegurado ao beneficiário do registro a preferência de contratação em igualdade de condições.</w:t>
      </w:r>
    </w:p>
    <w:p w14:paraId="442072B1" w14:textId="77777777" w:rsidR="005777B8" w:rsidRPr="005777B8" w:rsidRDefault="005777B8" w:rsidP="005777B8">
      <w:pPr>
        <w:spacing w:after="235"/>
        <w:rPr>
          <w:rFonts w:ascii="Arial" w:eastAsia="Arial" w:hAnsi="Arial" w:cs="Arial"/>
          <w:sz w:val="20"/>
        </w:rPr>
      </w:pPr>
      <w:r w:rsidRPr="005777B8">
        <w:rPr>
          <w:rFonts w:ascii="Arial" w:eastAsia="Arial" w:hAnsi="Arial" w:cs="Arial"/>
          <w:sz w:val="20"/>
        </w:rPr>
        <w:t xml:space="preserve"> </w:t>
      </w:r>
    </w:p>
    <w:p w14:paraId="2BDCC38C" w14:textId="77777777" w:rsidR="005777B8" w:rsidRPr="005777B8" w:rsidRDefault="005777B8" w:rsidP="005777B8">
      <w:pPr>
        <w:spacing w:after="166" w:line="294" w:lineRule="auto"/>
        <w:ind w:left="-5" w:hanging="10"/>
        <w:jc w:val="both"/>
        <w:rPr>
          <w:rFonts w:ascii="Arial" w:eastAsia="Arial" w:hAnsi="Arial" w:cs="Arial"/>
          <w:sz w:val="20"/>
        </w:rPr>
      </w:pPr>
      <w:r>
        <w:rPr>
          <w:rFonts w:ascii="Arial" w:eastAsia="Arial" w:hAnsi="Arial" w:cs="Arial"/>
          <w:sz w:val="20"/>
        </w:rPr>
        <w:t>As contratações decorrentes da Ata de Registro de Preços serão formalizadas mediante a emissão de nota de empenho.</w:t>
      </w:r>
    </w:p>
    <w:p w14:paraId="4F46A421" w14:textId="77777777" w:rsidR="005777B8" w:rsidRPr="005777B8" w:rsidRDefault="005777B8" w:rsidP="005777B8">
      <w:pPr>
        <w:spacing w:after="235"/>
        <w:rPr>
          <w:rFonts w:ascii="Arial" w:eastAsia="Arial" w:hAnsi="Arial" w:cs="Arial"/>
          <w:sz w:val="20"/>
        </w:rPr>
      </w:pPr>
      <w:r w:rsidRPr="005777B8">
        <w:rPr>
          <w:rFonts w:ascii="Arial" w:eastAsia="Arial" w:hAnsi="Arial" w:cs="Arial"/>
          <w:sz w:val="20"/>
        </w:rPr>
        <w:t xml:space="preserve"> </w:t>
      </w:r>
    </w:p>
    <w:p w14:paraId="641370C2" w14:textId="77777777" w:rsidR="005777B8" w:rsidRPr="005777B8" w:rsidRDefault="005777B8" w:rsidP="005777B8">
      <w:pPr>
        <w:spacing w:after="693" w:line="294" w:lineRule="auto"/>
        <w:ind w:left="-5" w:hanging="10"/>
        <w:jc w:val="both"/>
        <w:rPr>
          <w:rFonts w:ascii="Arial" w:eastAsia="Arial" w:hAnsi="Arial" w:cs="Arial"/>
          <w:sz w:val="20"/>
        </w:rPr>
      </w:pPr>
      <w:r>
        <w:rPr>
          <w:rFonts w:ascii="Arial" w:eastAsia="Arial" w:hAnsi="Arial" w:cs="Arial"/>
          <w:sz w:val="20"/>
        </w:rPr>
        <w:lastRenderedPageBreak/>
        <w:t>Constitui condição para a celebração da contratação, bem como para a realização dos pagamentos dela decorrentes, a inexistência de registros em nome do fornecedor no “Cadastro Informativo dos Créditos não Quitados de Órgãos e Entidades Estaduais– CADIN ESTADUAL”. Esta condição será considerada cumprida se a devedora comprovar que os respectivos registros se encontram suspensos, nos termos do artigo 8º, §§ 1º e 2º. Da Lei Estadual nº 12.799/2008.</w:t>
      </w:r>
    </w:p>
    <w:p w14:paraId="58D9BC75" w14:textId="77777777" w:rsidR="005777B8" w:rsidRPr="005777B8" w:rsidRDefault="005777B8" w:rsidP="005777B8">
      <w:pPr>
        <w:spacing w:after="198"/>
        <w:ind w:left="-5" w:hanging="10"/>
        <w:rPr>
          <w:rFonts w:ascii="Calibri" w:eastAsia="Calibri" w:hAnsi="Calibri" w:cs="Calibri"/>
          <w:b/>
        </w:rPr>
      </w:pPr>
      <w:r w:rsidRPr="005777B8">
        <w:rPr>
          <w:rFonts w:ascii="Calibri" w:eastAsia="Calibri" w:hAnsi="Calibri" w:cs="Calibri"/>
          <w:b/>
        </w:rPr>
        <w:t>7. Estimativa das Quantidades a serem Contratadas</w:t>
      </w:r>
    </w:p>
    <w:p w14:paraId="341FC99E" w14:textId="77777777" w:rsidR="005777B8" w:rsidRPr="005777B8" w:rsidRDefault="005777B8" w:rsidP="005777B8">
      <w:pPr>
        <w:spacing w:after="723" w:line="262" w:lineRule="auto"/>
        <w:ind w:left="-5" w:hanging="10"/>
        <w:jc w:val="both"/>
        <w:rPr>
          <w:rFonts w:ascii="Arial" w:eastAsia="Arial" w:hAnsi="Arial" w:cs="Arial"/>
          <w:sz w:val="20"/>
        </w:rPr>
      </w:pPr>
      <w:r w:rsidRPr="005777B8">
        <w:rPr>
          <w:rFonts w:ascii="Arial" w:eastAsia="Arial" w:hAnsi="Arial" w:cs="Arial"/>
          <w:sz w:val="20"/>
        </w:rPr>
        <w:t>As quantidades a serem adquiridas foram definidas com base na análise da média de consumo mensal dos últimos 12 meses fornecida pelo sistema de gestão de estoque – SOUL MV. A partir disso, foi projetado quantitativo para consumo durante a vigência da ata, acrescido de margem de segurança de 50% em razão da instabilidade do consumo. O quantitativo consta expressamente no documento de formalização</w:t>
      </w:r>
      <w:r>
        <w:rPr>
          <w:rFonts w:ascii="Calibri" w:eastAsia="Calibri" w:hAnsi="Calibri" w:cs="Calibri"/>
          <w:sz w:val="18"/>
        </w:rPr>
        <w:t xml:space="preserve"> da demanda </w:t>
      </w:r>
      <w:r w:rsidRPr="005777B8">
        <w:rPr>
          <w:rFonts w:ascii="Arial" w:eastAsia="Arial" w:hAnsi="Arial" w:cs="Arial"/>
          <w:sz w:val="20"/>
        </w:rPr>
        <w:t>e demais documentos anexos que lhe dão suporte.</w:t>
      </w:r>
    </w:p>
    <w:p w14:paraId="42868891" w14:textId="77777777" w:rsidR="005777B8" w:rsidRPr="005777B8" w:rsidRDefault="005777B8" w:rsidP="005777B8">
      <w:pPr>
        <w:spacing w:after="198"/>
        <w:ind w:left="-5" w:hanging="10"/>
        <w:rPr>
          <w:rFonts w:ascii="Calibri" w:eastAsia="Calibri" w:hAnsi="Calibri" w:cs="Calibri"/>
          <w:b/>
        </w:rPr>
      </w:pPr>
      <w:r w:rsidRPr="005777B8">
        <w:rPr>
          <w:rFonts w:ascii="Calibri" w:eastAsia="Calibri" w:hAnsi="Calibri" w:cs="Calibri"/>
          <w:b/>
        </w:rPr>
        <w:t>8. Estimativa do Valor da Contratação</w:t>
      </w:r>
    </w:p>
    <w:p w14:paraId="3E31F82B" w14:textId="77777777" w:rsidR="005777B8" w:rsidRDefault="005777B8" w:rsidP="005777B8">
      <w:pPr>
        <w:spacing w:after="202" w:line="294" w:lineRule="auto"/>
        <w:ind w:left="-5" w:hanging="10"/>
        <w:jc w:val="both"/>
      </w:pPr>
      <w:r>
        <w:rPr>
          <w:rFonts w:ascii="Arial" w:eastAsia="Arial" w:hAnsi="Arial" w:cs="Arial"/>
          <w:sz w:val="20"/>
        </w:rPr>
        <w:t>Os estudos sobre preços referenciais constantes neste Processo administrativo, de caráter restrito, mediante justificativa nos autos, considerando o tratamento sigiloso do orçamento desta contratação, respaldado pela Lei 14.133/2021, facultando-se sua publicidade após os julgamentos das propostas.</w:t>
      </w:r>
    </w:p>
    <w:p w14:paraId="1E0A6D21" w14:textId="77777777" w:rsidR="005777B8" w:rsidRDefault="005777B8" w:rsidP="005777B8">
      <w:pPr>
        <w:spacing w:after="166" w:line="294" w:lineRule="auto"/>
        <w:ind w:left="-5" w:hanging="10"/>
        <w:jc w:val="both"/>
      </w:pPr>
      <w:r>
        <w:rPr>
          <w:rFonts w:ascii="Arial" w:eastAsia="Arial" w:hAnsi="Arial" w:cs="Arial"/>
          <w:sz w:val="20"/>
        </w:rPr>
        <w:t>As vantagens do orçamento sigiloso são inúmeras, dentre elas pontuamos as seguintes:</w:t>
      </w:r>
    </w:p>
    <w:p w14:paraId="110946DC" w14:textId="77777777" w:rsidR="005777B8" w:rsidRDefault="005777B8" w:rsidP="005777B8">
      <w:pPr>
        <w:spacing w:after="235"/>
      </w:pPr>
      <w:r>
        <w:rPr>
          <w:rFonts w:ascii="Calibri" w:eastAsia="Calibri" w:hAnsi="Calibri" w:cs="Calibri"/>
          <w:sz w:val="18"/>
        </w:rPr>
        <w:t xml:space="preserve"> </w:t>
      </w:r>
    </w:p>
    <w:p w14:paraId="2BF01E6B" w14:textId="77777777" w:rsidR="005777B8" w:rsidRDefault="005777B8" w:rsidP="005777B8">
      <w:pPr>
        <w:numPr>
          <w:ilvl w:val="0"/>
          <w:numId w:val="39"/>
        </w:numPr>
        <w:spacing w:after="166" w:line="294" w:lineRule="auto"/>
        <w:ind w:hanging="234"/>
        <w:jc w:val="both"/>
      </w:pPr>
      <w:r>
        <w:rPr>
          <w:rFonts w:ascii="Arial" w:eastAsia="Arial" w:hAnsi="Arial" w:cs="Arial"/>
          <w:sz w:val="20"/>
        </w:rPr>
        <w:t>busca diminuir a assimetria de informações entre a administração e o licitante e, dentre podemos citar:</w:t>
      </w:r>
    </w:p>
    <w:p w14:paraId="35CBC710" w14:textId="77777777" w:rsidR="005777B8" w:rsidRDefault="005777B8" w:rsidP="005777B8">
      <w:pPr>
        <w:spacing w:after="235"/>
      </w:pPr>
      <w:r>
        <w:rPr>
          <w:rFonts w:ascii="Calibri" w:eastAsia="Calibri" w:hAnsi="Calibri" w:cs="Calibri"/>
          <w:sz w:val="18"/>
        </w:rPr>
        <w:t xml:space="preserve"> </w:t>
      </w:r>
    </w:p>
    <w:p w14:paraId="65A082A2" w14:textId="77777777" w:rsidR="005777B8" w:rsidRDefault="005777B8" w:rsidP="005777B8">
      <w:pPr>
        <w:numPr>
          <w:ilvl w:val="0"/>
          <w:numId w:val="39"/>
        </w:numPr>
        <w:spacing w:after="166" w:line="294" w:lineRule="auto"/>
        <w:ind w:hanging="234"/>
        <w:jc w:val="both"/>
      </w:pPr>
      <w:r>
        <w:rPr>
          <w:rFonts w:ascii="Arial" w:eastAsia="Arial" w:hAnsi="Arial" w:cs="Arial"/>
          <w:sz w:val="20"/>
        </w:rPr>
        <w:t>estimula os licitantes a apresentarem propostas reais de preços, de acordo com os seus custos efetivos;</w:t>
      </w:r>
    </w:p>
    <w:p w14:paraId="59C0682D" w14:textId="77777777" w:rsidR="005777B8" w:rsidRDefault="005777B8" w:rsidP="005777B8">
      <w:pPr>
        <w:spacing w:after="235"/>
      </w:pPr>
      <w:r>
        <w:rPr>
          <w:rFonts w:ascii="Calibri" w:eastAsia="Calibri" w:hAnsi="Calibri" w:cs="Calibri"/>
          <w:sz w:val="18"/>
        </w:rPr>
        <w:t xml:space="preserve"> </w:t>
      </w:r>
    </w:p>
    <w:p w14:paraId="456972B2" w14:textId="77777777" w:rsidR="005777B8" w:rsidRDefault="005777B8" w:rsidP="005777B8">
      <w:pPr>
        <w:numPr>
          <w:ilvl w:val="0"/>
          <w:numId w:val="39"/>
        </w:numPr>
        <w:spacing w:after="166" w:line="294" w:lineRule="auto"/>
        <w:ind w:hanging="234"/>
        <w:jc w:val="both"/>
      </w:pPr>
      <w:r>
        <w:rPr>
          <w:rFonts w:ascii="Arial" w:eastAsia="Arial" w:hAnsi="Arial" w:cs="Arial"/>
          <w:sz w:val="20"/>
        </w:rPr>
        <w:t>dificulta a participação de empresas sem expertise, com menor capacidade de planejamento ou responsabilidade técnicana confecção das propostas; busca fazer com que os licitantes apresentem suas melhores propostas;</w:t>
      </w:r>
    </w:p>
    <w:p w14:paraId="7961E32A" w14:textId="77777777" w:rsidR="005777B8" w:rsidRDefault="005777B8" w:rsidP="005777B8">
      <w:pPr>
        <w:spacing w:after="235"/>
      </w:pPr>
      <w:r>
        <w:rPr>
          <w:rFonts w:ascii="Calibri" w:eastAsia="Calibri" w:hAnsi="Calibri" w:cs="Calibri"/>
          <w:sz w:val="18"/>
        </w:rPr>
        <w:t xml:space="preserve"> </w:t>
      </w:r>
    </w:p>
    <w:p w14:paraId="3B54AD8E" w14:textId="77777777" w:rsidR="005777B8" w:rsidRDefault="005777B8" w:rsidP="005777B8">
      <w:pPr>
        <w:numPr>
          <w:ilvl w:val="0"/>
          <w:numId w:val="39"/>
        </w:numPr>
        <w:spacing w:after="166" w:line="294" w:lineRule="auto"/>
        <w:ind w:hanging="234"/>
        <w:jc w:val="both"/>
      </w:pPr>
      <w:r>
        <w:rPr>
          <w:rFonts w:ascii="Arial" w:eastAsia="Arial" w:hAnsi="Arial" w:cs="Arial"/>
          <w:sz w:val="20"/>
        </w:rPr>
        <w:t>fomenta a negociação; (v) busca evitar o conluio nas licitações, ou seja, tem por escopo principal selecionar a propostamais vantajosa para a administração.</w:t>
      </w:r>
    </w:p>
    <w:p w14:paraId="3A92FE9F" w14:textId="77777777" w:rsidR="005777B8" w:rsidRDefault="005777B8" w:rsidP="005777B8">
      <w:pPr>
        <w:spacing w:after="235"/>
      </w:pPr>
      <w:r>
        <w:rPr>
          <w:rFonts w:ascii="Calibri" w:eastAsia="Calibri" w:hAnsi="Calibri" w:cs="Calibri"/>
          <w:sz w:val="18"/>
        </w:rPr>
        <w:t xml:space="preserve"> </w:t>
      </w:r>
    </w:p>
    <w:p w14:paraId="343EF207" w14:textId="77777777" w:rsidR="005777B8" w:rsidRDefault="005777B8" w:rsidP="005777B8">
      <w:pPr>
        <w:spacing w:after="166" w:line="294" w:lineRule="auto"/>
        <w:ind w:left="-5" w:hanging="10"/>
        <w:jc w:val="both"/>
      </w:pPr>
      <w:r>
        <w:rPr>
          <w:rFonts w:ascii="Arial" w:eastAsia="Arial" w:hAnsi="Arial" w:cs="Arial"/>
          <w:sz w:val="20"/>
        </w:rPr>
        <w:t>Desta forma informamos que os arquivos deste processo serão restringidos após a avaliação jurídica até a abertura da sessão no processo, sendo disponibilizados para os cidadãos após abertura da sessão do pregão. Portanto o orçamento estimado da contratação no pregão não consta do edital, tornando público apenas divulgação do detalhamento dos quantitativos e das demais informações necessárias para a elaboração das propostas no Termo de Referência.</w:t>
      </w:r>
    </w:p>
    <w:p w14:paraId="6DD7CF55" w14:textId="77777777" w:rsidR="005777B8" w:rsidRPr="005777B8" w:rsidRDefault="005777B8" w:rsidP="005777B8">
      <w:pPr>
        <w:spacing w:after="198"/>
        <w:ind w:left="-5" w:hanging="10"/>
        <w:rPr>
          <w:rFonts w:ascii="Calibri" w:eastAsia="Calibri" w:hAnsi="Calibri" w:cs="Calibri"/>
          <w:b/>
        </w:rPr>
      </w:pPr>
      <w:r w:rsidRPr="005777B8">
        <w:rPr>
          <w:rFonts w:ascii="Calibri" w:eastAsia="Calibri" w:hAnsi="Calibri" w:cs="Calibri"/>
          <w:b/>
        </w:rPr>
        <w:t>9. Justificativa para o Parcelamento ou não da Solução</w:t>
      </w:r>
    </w:p>
    <w:p w14:paraId="0B39D316" w14:textId="77777777" w:rsidR="005777B8" w:rsidRPr="005777B8" w:rsidRDefault="005777B8" w:rsidP="005777B8">
      <w:pPr>
        <w:spacing w:after="166" w:line="294" w:lineRule="auto"/>
        <w:ind w:left="-5" w:hanging="10"/>
        <w:jc w:val="both"/>
        <w:rPr>
          <w:rFonts w:ascii="Arial" w:eastAsia="Arial" w:hAnsi="Arial" w:cs="Arial"/>
          <w:sz w:val="20"/>
        </w:rPr>
      </w:pPr>
      <w:r w:rsidRPr="005777B8">
        <w:rPr>
          <w:rFonts w:ascii="Arial" w:eastAsia="Arial" w:hAnsi="Arial" w:cs="Arial"/>
          <w:sz w:val="20"/>
        </w:rPr>
        <w:t xml:space="preserve">Quando ao parcelamento da solução, para aquisição de material de consumo considera-se viável a aquisição por ITEM, pois técnica e economicamente os diferentes materiais são natureza divisível, uma vez que cada item possui aplicação individual, de maneira que tanto aquisição quanto a utilização independem dos demais. </w:t>
      </w:r>
      <w:r w:rsidRPr="005777B8">
        <w:rPr>
          <w:rFonts w:ascii="Arial" w:eastAsia="Arial" w:hAnsi="Arial" w:cs="Arial"/>
          <w:sz w:val="20"/>
        </w:rPr>
        <w:lastRenderedPageBreak/>
        <w:t>Ademais, o item objeto da presente contratação pode ser fornecido diversas empresas, preservando-se o caráter competitivo do certame.</w:t>
      </w:r>
    </w:p>
    <w:p w14:paraId="4463B95A" w14:textId="77777777" w:rsidR="005777B8" w:rsidRPr="005777B8" w:rsidRDefault="005777B8" w:rsidP="005777B8">
      <w:pPr>
        <w:spacing w:after="198"/>
        <w:ind w:left="-5" w:hanging="10"/>
        <w:rPr>
          <w:rFonts w:ascii="Calibri" w:eastAsia="Calibri" w:hAnsi="Calibri" w:cs="Calibri"/>
          <w:b/>
        </w:rPr>
      </w:pPr>
      <w:r w:rsidRPr="005777B8">
        <w:rPr>
          <w:rFonts w:ascii="Calibri" w:eastAsia="Calibri" w:hAnsi="Calibri" w:cs="Calibri"/>
          <w:b/>
        </w:rPr>
        <w:t>10. Contratações Correlatas e/ou Interdependentes</w:t>
      </w:r>
    </w:p>
    <w:p w14:paraId="40CA7AAD" w14:textId="77777777" w:rsidR="005777B8" w:rsidRDefault="005777B8" w:rsidP="005777B8">
      <w:pPr>
        <w:spacing w:after="697" w:line="294" w:lineRule="auto"/>
        <w:ind w:left="-5" w:hanging="10"/>
        <w:jc w:val="both"/>
      </w:pPr>
      <w:r>
        <w:rPr>
          <w:rFonts w:ascii="Arial" w:eastAsia="Arial" w:hAnsi="Arial" w:cs="Arial"/>
          <w:sz w:val="20"/>
        </w:rPr>
        <w:t>A presente contratação não guarda interdependência ou tem correlação com outros DFDs.</w:t>
      </w:r>
    </w:p>
    <w:p w14:paraId="32D1158A" w14:textId="77777777" w:rsidR="005777B8" w:rsidRPr="005777B8" w:rsidRDefault="005777B8" w:rsidP="005777B8">
      <w:pPr>
        <w:spacing w:after="198"/>
        <w:ind w:left="-5" w:hanging="10"/>
        <w:rPr>
          <w:rFonts w:ascii="Calibri" w:eastAsia="Calibri" w:hAnsi="Calibri" w:cs="Calibri"/>
          <w:b/>
        </w:rPr>
      </w:pPr>
      <w:r w:rsidRPr="005777B8">
        <w:rPr>
          <w:rFonts w:ascii="Calibri" w:eastAsia="Calibri" w:hAnsi="Calibri" w:cs="Calibri"/>
          <w:b/>
        </w:rPr>
        <w:t>11. Alinhamento entre a Contratação e o Planejamento</w:t>
      </w:r>
    </w:p>
    <w:p w14:paraId="1A342F0B" w14:textId="77777777" w:rsidR="005777B8" w:rsidRDefault="005777B8" w:rsidP="005777B8">
      <w:pPr>
        <w:spacing w:after="697" w:line="294" w:lineRule="auto"/>
        <w:ind w:left="-5" w:hanging="10"/>
        <w:jc w:val="both"/>
      </w:pPr>
      <w:r>
        <w:rPr>
          <w:rFonts w:ascii="Arial" w:eastAsia="Arial" w:hAnsi="Arial" w:cs="Arial"/>
          <w:sz w:val="20"/>
        </w:rPr>
        <w:t>Os itens previstos nesta contratação estão de acordo com o planejamento da Instituição para o exercício 2026.</w:t>
      </w:r>
    </w:p>
    <w:p w14:paraId="5EFD7FA7" w14:textId="77777777" w:rsidR="005777B8" w:rsidRPr="005777B8" w:rsidRDefault="005777B8" w:rsidP="005777B8">
      <w:pPr>
        <w:spacing w:after="198"/>
        <w:ind w:left="-5" w:hanging="10"/>
        <w:rPr>
          <w:rFonts w:ascii="Calibri" w:eastAsia="Calibri" w:hAnsi="Calibri" w:cs="Calibri"/>
          <w:b/>
        </w:rPr>
      </w:pPr>
      <w:r w:rsidRPr="005777B8">
        <w:rPr>
          <w:rFonts w:ascii="Calibri" w:eastAsia="Calibri" w:hAnsi="Calibri" w:cs="Calibri"/>
          <w:b/>
        </w:rPr>
        <w:t>12. Resultados Pretendidos</w:t>
      </w:r>
    </w:p>
    <w:p w14:paraId="3E170E86" w14:textId="77777777" w:rsidR="005777B8" w:rsidRDefault="005777B8" w:rsidP="005777B8">
      <w:pPr>
        <w:spacing w:after="693" w:line="294" w:lineRule="auto"/>
        <w:ind w:left="-5" w:hanging="10"/>
        <w:jc w:val="both"/>
      </w:pPr>
      <w:r>
        <w:rPr>
          <w:rFonts w:ascii="Arial" w:eastAsia="Arial" w:hAnsi="Arial" w:cs="Arial"/>
          <w:sz w:val="20"/>
        </w:rPr>
        <w:t xml:space="preserve">Como benefícios resultantes desta aquisição espera-se melhor atender às demandas do Hospital das Clinicas de São Paulo - HCFMUSP, agilizar e conferir maior segurança ao atendimento do paciente por meio da disponibilidade dos material de consumo necessários e adequados. Além disso, visa a manutenção das pactuações e contratualizações acordadas entre a instituição e gestores públicos, de forma a atender plenamente a execução do Atendimento Integral e Descentralizado no SUS no Estado de São Paulo. </w:t>
      </w:r>
    </w:p>
    <w:p w14:paraId="1594F0E4" w14:textId="77777777" w:rsidR="005777B8" w:rsidRPr="005777B8" w:rsidRDefault="005777B8" w:rsidP="005777B8">
      <w:pPr>
        <w:spacing w:after="198"/>
        <w:ind w:left="-5" w:hanging="10"/>
        <w:rPr>
          <w:rFonts w:ascii="Calibri" w:eastAsia="Calibri" w:hAnsi="Calibri" w:cs="Calibri"/>
          <w:b/>
        </w:rPr>
      </w:pPr>
      <w:r w:rsidRPr="005777B8">
        <w:rPr>
          <w:rFonts w:ascii="Calibri" w:eastAsia="Calibri" w:hAnsi="Calibri" w:cs="Calibri"/>
          <w:b/>
        </w:rPr>
        <w:t>13. Providências a serem Adotadas</w:t>
      </w:r>
    </w:p>
    <w:p w14:paraId="0DEA15E0" w14:textId="77777777" w:rsidR="005777B8" w:rsidRDefault="005777B8" w:rsidP="005777B8">
      <w:pPr>
        <w:spacing w:after="723" w:line="262" w:lineRule="auto"/>
        <w:ind w:left="-5" w:hanging="10"/>
        <w:jc w:val="both"/>
      </w:pPr>
      <w:r>
        <w:rPr>
          <w:rFonts w:ascii="Calibri" w:eastAsia="Calibri" w:hAnsi="Calibri" w:cs="Calibri"/>
          <w:sz w:val="18"/>
        </w:rPr>
        <w:t>Não serão necessárias novas providências para a adequação da Instituição, nem capacitação específica de servidores para atuarem na contração e fiscalização do contrato, vez que o HCFMUSP dispõe de recursos físicos, humanos e tecnológicos padronizados para fins de gestão de recebimento de bens de consumo corrente.</w:t>
      </w:r>
    </w:p>
    <w:p w14:paraId="6855EAF2" w14:textId="77777777" w:rsidR="005777B8" w:rsidRPr="005777B8" w:rsidRDefault="005777B8" w:rsidP="005777B8">
      <w:pPr>
        <w:spacing w:after="198"/>
        <w:ind w:left="-5" w:hanging="10"/>
        <w:rPr>
          <w:rFonts w:ascii="Calibri" w:eastAsia="Calibri" w:hAnsi="Calibri" w:cs="Calibri"/>
          <w:b/>
        </w:rPr>
      </w:pPr>
      <w:r w:rsidRPr="005777B8">
        <w:rPr>
          <w:rFonts w:ascii="Calibri" w:eastAsia="Calibri" w:hAnsi="Calibri" w:cs="Calibri"/>
          <w:b/>
        </w:rPr>
        <w:t>14. Possíveis Impactos Ambientais</w:t>
      </w:r>
    </w:p>
    <w:p w14:paraId="43232513" w14:textId="77777777" w:rsidR="005777B8" w:rsidRDefault="005777B8" w:rsidP="005777B8">
      <w:pPr>
        <w:spacing w:after="259" w:line="294" w:lineRule="auto"/>
        <w:ind w:left="-5" w:hanging="10"/>
        <w:jc w:val="both"/>
      </w:pPr>
      <w:r>
        <w:rPr>
          <w:rFonts w:ascii="Arial" w:eastAsia="Arial" w:hAnsi="Arial" w:cs="Arial"/>
          <w:sz w:val="20"/>
        </w:rPr>
        <w:t>Na instituição há equipe dedicada ao serviço de gerenciamento de resíduos hospitalares, com processos e fluxos estabelecidos com base na legislação pertinente, de modo a realizar este trabalho de evitar impactos ambientais.</w:t>
      </w:r>
    </w:p>
    <w:p w14:paraId="3652179B" w14:textId="77777777" w:rsidR="005777B8" w:rsidRDefault="005777B8" w:rsidP="005777B8">
      <w:pPr>
        <w:spacing w:after="635"/>
        <w:ind w:left="60"/>
      </w:pPr>
      <w:r>
        <w:rPr>
          <w:rFonts w:ascii="Calibri" w:eastAsia="Calibri" w:hAnsi="Calibri" w:cs="Calibri"/>
          <w:b/>
          <w:sz w:val="27"/>
        </w:rPr>
        <w:t xml:space="preserve"> </w:t>
      </w:r>
    </w:p>
    <w:p w14:paraId="066056A6" w14:textId="77777777" w:rsidR="005777B8" w:rsidRPr="005777B8" w:rsidRDefault="005777B8" w:rsidP="005777B8">
      <w:pPr>
        <w:spacing w:after="198"/>
        <w:ind w:left="-5" w:hanging="10"/>
        <w:rPr>
          <w:rFonts w:ascii="Calibri" w:eastAsia="Calibri" w:hAnsi="Calibri" w:cs="Calibri"/>
          <w:b/>
        </w:rPr>
      </w:pPr>
      <w:r w:rsidRPr="005777B8">
        <w:rPr>
          <w:rFonts w:ascii="Calibri" w:eastAsia="Calibri" w:hAnsi="Calibri" w:cs="Calibri"/>
          <w:b/>
        </w:rPr>
        <w:t>15. Equipe de apoio pregão</w:t>
      </w:r>
    </w:p>
    <w:p w14:paraId="38E8E0C4" w14:textId="77777777" w:rsidR="005777B8" w:rsidRDefault="005777B8" w:rsidP="005777B8">
      <w:pPr>
        <w:spacing w:after="224" w:line="262" w:lineRule="auto"/>
        <w:ind w:left="-5" w:hanging="10"/>
        <w:jc w:val="both"/>
      </w:pPr>
      <w:r>
        <w:rPr>
          <w:rFonts w:ascii="Calibri" w:eastAsia="Calibri" w:hAnsi="Calibri" w:cs="Calibri"/>
          <w:sz w:val="18"/>
        </w:rPr>
        <w:t>Equipe: GTAM</w:t>
      </w:r>
    </w:p>
    <w:p w14:paraId="59039D76" w14:textId="77777777" w:rsidR="005777B8" w:rsidRDefault="005777B8" w:rsidP="005777B8">
      <w:pPr>
        <w:spacing w:after="224" w:line="262" w:lineRule="auto"/>
        <w:ind w:left="-5" w:hanging="10"/>
        <w:jc w:val="both"/>
      </w:pPr>
      <w:r>
        <w:rPr>
          <w:rFonts w:ascii="Calibri" w:eastAsia="Calibri" w:hAnsi="Calibri" w:cs="Calibri"/>
          <w:sz w:val="18"/>
        </w:rPr>
        <w:t>Mitiko/Eliza do ICHC</w:t>
      </w:r>
    </w:p>
    <w:p w14:paraId="7ABCA509" w14:textId="77777777" w:rsidR="005777B8" w:rsidRDefault="005777B8" w:rsidP="005777B8">
      <w:pPr>
        <w:spacing w:after="224" w:line="262" w:lineRule="auto"/>
        <w:ind w:left="-5" w:hanging="10"/>
        <w:jc w:val="both"/>
      </w:pPr>
      <w:r>
        <w:rPr>
          <w:rFonts w:ascii="Calibri" w:eastAsia="Calibri" w:hAnsi="Calibri" w:cs="Calibri"/>
          <w:sz w:val="18"/>
        </w:rPr>
        <w:t>Elizete/Eliane/Alice do INCOR</w:t>
      </w:r>
    </w:p>
    <w:p w14:paraId="32143D10" w14:textId="77777777" w:rsidR="005777B8" w:rsidRDefault="005777B8" w:rsidP="005777B8">
      <w:pPr>
        <w:spacing w:after="224" w:line="262" w:lineRule="auto"/>
        <w:ind w:left="-5" w:hanging="10"/>
        <w:jc w:val="both"/>
      </w:pPr>
      <w:r>
        <w:rPr>
          <w:rFonts w:ascii="Calibri" w:eastAsia="Calibri" w:hAnsi="Calibri" w:cs="Calibri"/>
          <w:sz w:val="18"/>
        </w:rPr>
        <w:t>Márcia do ICR</w:t>
      </w:r>
    </w:p>
    <w:p w14:paraId="6A2023AA" w14:textId="43187B81" w:rsidR="005777B8" w:rsidRDefault="005777B8" w:rsidP="00FD570E">
      <w:pPr>
        <w:spacing w:after="723" w:line="240" w:lineRule="auto"/>
        <w:ind w:left="-5" w:hanging="10"/>
      </w:pPr>
      <w:r>
        <w:rPr>
          <w:rFonts w:ascii="Calibri" w:eastAsia="Calibri" w:hAnsi="Calibri" w:cs="Calibri"/>
          <w:sz w:val="18"/>
        </w:rPr>
        <w:t>Cristina do IOT</w:t>
      </w:r>
      <w:r w:rsidR="00FD570E">
        <w:rPr>
          <w:rFonts w:ascii="Calibri" w:eastAsia="Calibri" w:hAnsi="Calibri" w:cs="Calibri"/>
          <w:sz w:val="18"/>
        </w:rPr>
        <w:t xml:space="preserve">  </w:t>
      </w:r>
      <w:r w:rsidR="00FD570E">
        <w:rPr>
          <w:rFonts w:ascii="Calibri" w:eastAsia="Calibri" w:hAnsi="Calibri" w:cs="Calibri"/>
          <w:sz w:val="18"/>
        </w:rPr>
        <w:br/>
      </w:r>
      <w:r w:rsidR="00FD570E">
        <w:rPr>
          <w:rFonts w:ascii="Calibri" w:eastAsia="Calibri" w:hAnsi="Calibri" w:cs="Calibri"/>
          <w:sz w:val="18"/>
        </w:rPr>
        <w:br/>
      </w:r>
      <w:r>
        <w:rPr>
          <w:rFonts w:ascii="Calibri" w:eastAsia="Calibri" w:hAnsi="Calibri" w:cs="Calibri"/>
          <w:sz w:val="18"/>
        </w:rPr>
        <w:t>Vilma do IPQ</w:t>
      </w:r>
      <w:r w:rsidR="00FD570E">
        <w:rPr>
          <w:rFonts w:ascii="Calibri" w:eastAsia="Calibri" w:hAnsi="Calibri" w:cs="Calibri"/>
          <w:sz w:val="18"/>
        </w:rPr>
        <w:br/>
      </w:r>
      <w:r w:rsidR="00FD570E">
        <w:rPr>
          <w:rFonts w:ascii="Calibri" w:eastAsia="Calibri" w:hAnsi="Calibri" w:cs="Calibri"/>
          <w:sz w:val="18"/>
        </w:rPr>
        <w:br/>
      </w:r>
      <w:r>
        <w:rPr>
          <w:rFonts w:ascii="Calibri" w:eastAsia="Calibri" w:hAnsi="Calibri" w:cs="Calibri"/>
          <w:sz w:val="18"/>
        </w:rPr>
        <w:t>Elói do INRAD</w:t>
      </w:r>
    </w:p>
    <w:p w14:paraId="6E053381" w14:textId="77777777" w:rsidR="005777B8" w:rsidRPr="00FD570E" w:rsidRDefault="005777B8" w:rsidP="00FD570E">
      <w:pPr>
        <w:spacing w:after="198"/>
        <w:ind w:left="-5" w:hanging="10"/>
        <w:rPr>
          <w:rFonts w:ascii="Calibri" w:eastAsia="Calibri" w:hAnsi="Calibri" w:cs="Calibri"/>
          <w:b/>
        </w:rPr>
      </w:pPr>
      <w:r w:rsidRPr="00FD570E">
        <w:rPr>
          <w:rFonts w:ascii="Calibri" w:eastAsia="Calibri" w:hAnsi="Calibri" w:cs="Calibri"/>
          <w:b/>
        </w:rPr>
        <w:lastRenderedPageBreak/>
        <w:t>16. Responsáveis</w:t>
      </w:r>
    </w:p>
    <w:p w14:paraId="5895DAA4" w14:textId="77777777" w:rsidR="005777B8" w:rsidRDefault="005777B8" w:rsidP="005777B8">
      <w:pPr>
        <w:spacing w:after="83" w:line="262" w:lineRule="auto"/>
        <w:ind w:left="-5" w:hanging="10"/>
        <w:jc w:val="both"/>
      </w:pPr>
      <w:r>
        <w:rPr>
          <w:rFonts w:ascii="Calibri" w:eastAsia="Calibri" w:hAnsi="Calibri" w:cs="Calibri"/>
          <w:sz w:val="18"/>
        </w:rPr>
        <w:t xml:space="preserve">Todas as assinaturas eletrônicas seguem o horário oficial de Brasília e fundamentam-se no §3º do Art. 4º do </w:t>
      </w:r>
      <w:hyperlink r:id="rId25">
        <w:r>
          <w:rPr>
            <w:rFonts w:ascii="Calibri" w:eastAsia="Calibri" w:hAnsi="Calibri" w:cs="Calibri"/>
            <w:color w:val="0000FF"/>
            <w:sz w:val="18"/>
            <w:u w:val="single" w:color="0000FF"/>
          </w:rPr>
          <w:t xml:space="preserve">Decreto nº 10.543, de 13 de novembro de </w:t>
        </w:r>
      </w:hyperlink>
      <w:hyperlink r:id="rId26">
        <w:r>
          <w:rPr>
            <w:rFonts w:ascii="Calibri" w:eastAsia="Calibri" w:hAnsi="Calibri" w:cs="Calibri"/>
            <w:color w:val="0000FF"/>
            <w:sz w:val="18"/>
            <w:u w:val="single" w:color="0000FF"/>
          </w:rPr>
          <w:t>2020</w:t>
        </w:r>
      </w:hyperlink>
      <w:hyperlink r:id="rId27">
        <w:r>
          <w:rPr>
            <w:rFonts w:ascii="Calibri" w:eastAsia="Calibri" w:hAnsi="Calibri" w:cs="Calibri"/>
            <w:sz w:val="18"/>
          </w:rPr>
          <w:t>.</w:t>
        </w:r>
      </w:hyperlink>
    </w:p>
    <w:p w14:paraId="07F1AC4F" w14:textId="77777777" w:rsidR="005777B8" w:rsidRDefault="005777B8" w:rsidP="005777B8">
      <w:pPr>
        <w:spacing w:after="54"/>
        <w:ind w:right="7"/>
        <w:jc w:val="center"/>
      </w:pPr>
      <w:r>
        <w:rPr>
          <w:rFonts w:ascii="Calibri" w:eastAsia="Calibri" w:hAnsi="Calibri" w:cs="Calibri"/>
          <w:sz w:val="18"/>
        </w:rPr>
        <w:t xml:space="preserve"> </w:t>
      </w:r>
    </w:p>
    <w:p w14:paraId="5D6C074C" w14:textId="77777777" w:rsidR="005777B8" w:rsidRDefault="005777B8" w:rsidP="005777B8">
      <w:pPr>
        <w:spacing w:after="54"/>
        <w:ind w:right="7"/>
        <w:jc w:val="center"/>
      </w:pPr>
      <w:r>
        <w:rPr>
          <w:rFonts w:ascii="Calibri" w:eastAsia="Calibri" w:hAnsi="Calibri" w:cs="Calibri"/>
          <w:sz w:val="18"/>
        </w:rPr>
        <w:t xml:space="preserve"> </w:t>
      </w:r>
    </w:p>
    <w:p w14:paraId="1460DC15" w14:textId="77777777" w:rsidR="005777B8" w:rsidRDefault="005777B8" w:rsidP="005777B8">
      <w:pPr>
        <w:spacing w:after="54"/>
        <w:ind w:right="7"/>
        <w:jc w:val="center"/>
      </w:pPr>
      <w:r>
        <w:rPr>
          <w:rFonts w:ascii="Calibri" w:eastAsia="Calibri" w:hAnsi="Calibri" w:cs="Calibri"/>
          <w:sz w:val="18"/>
        </w:rPr>
        <w:t xml:space="preserve"> </w:t>
      </w:r>
    </w:p>
    <w:p w14:paraId="62E7D390" w14:textId="77777777" w:rsidR="005777B8" w:rsidRDefault="005777B8" w:rsidP="005777B8">
      <w:pPr>
        <w:spacing w:after="95"/>
        <w:ind w:right="7"/>
        <w:jc w:val="center"/>
      </w:pPr>
      <w:r>
        <w:rPr>
          <w:rFonts w:ascii="Calibri" w:eastAsia="Calibri" w:hAnsi="Calibri" w:cs="Calibri"/>
          <w:sz w:val="18"/>
        </w:rPr>
        <w:t xml:space="preserve"> </w:t>
      </w:r>
    </w:p>
    <w:p w14:paraId="72AC3585" w14:textId="77777777" w:rsidR="005777B8" w:rsidRDefault="005777B8" w:rsidP="005777B8">
      <w:pPr>
        <w:pStyle w:val="Ttulo3"/>
        <w:spacing w:after="18"/>
        <w:ind w:left="10" w:right="7"/>
      </w:pPr>
      <w:r>
        <w:rPr>
          <w:rFonts w:ascii="Calibri" w:eastAsia="Calibri" w:hAnsi="Calibri" w:cs="Calibri"/>
          <w:sz w:val="22"/>
        </w:rPr>
        <w:t>ANA CLAUDIA DOS SANTOS OLIVEIRA</w:t>
      </w:r>
    </w:p>
    <w:p w14:paraId="538E12F8" w14:textId="77777777" w:rsidR="005777B8" w:rsidRDefault="005777B8" w:rsidP="005777B8">
      <w:pPr>
        <w:spacing w:after="38"/>
        <w:ind w:left="10" w:right="7" w:hanging="10"/>
        <w:jc w:val="center"/>
      </w:pPr>
      <w:r>
        <w:rPr>
          <w:rFonts w:ascii="Calibri" w:eastAsia="Calibri" w:hAnsi="Calibri" w:cs="Calibri"/>
          <w:sz w:val="18"/>
        </w:rPr>
        <w:t>Op. Micro Pl.</w:t>
      </w:r>
    </w:p>
    <w:p w14:paraId="60DFB619" w14:textId="75384032" w:rsidR="005777B8" w:rsidRDefault="005777B8" w:rsidP="005777B8">
      <w:pPr>
        <w:spacing w:after="54"/>
        <w:ind w:right="7"/>
        <w:jc w:val="center"/>
      </w:pPr>
    </w:p>
    <w:p w14:paraId="0159BA86" w14:textId="77777777" w:rsidR="005777B8" w:rsidRDefault="005777B8" w:rsidP="005777B8">
      <w:pPr>
        <w:spacing w:after="54"/>
        <w:ind w:right="7"/>
        <w:jc w:val="center"/>
      </w:pPr>
      <w:r>
        <w:rPr>
          <w:rFonts w:ascii="Calibri" w:eastAsia="Calibri" w:hAnsi="Calibri" w:cs="Calibri"/>
          <w:sz w:val="18"/>
        </w:rPr>
        <w:t xml:space="preserve"> </w:t>
      </w:r>
    </w:p>
    <w:p w14:paraId="6A554732" w14:textId="77777777" w:rsidR="005777B8" w:rsidRDefault="005777B8" w:rsidP="005777B8">
      <w:pPr>
        <w:spacing w:after="54"/>
        <w:ind w:right="7"/>
        <w:jc w:val="center"/>
      </w:pPr>
      <w:r>
        <w:rPr>
          <w:rFonts w:ascii="Calibri" w:eastAsia="Calibri" w:hAnsi="Calibri" w:cs="Calibri"/>
          <w:sz w:val="18"/>
        </w:rPr>
        <w:t xml:space="preserve"> </w:t>
      </w:r>
    </w:p>
    <w:p w14:paraId="649942EC" w14:textId="77777777" w:rsidR="005777B8" w:rsidRDefault="005777B8" w:rsidP="005777B8">
      <w:pPr>
        <w:spacing w:after="95"/>
        <w:ind w:right="7"/>
        <w:jc w:val="center"/>
      </w:pPr>
      <w:r>
        <w:rPr>
          <w:rFonts w:ascii="Calibri" w:eastAsia="Calibri" w:hAnsi="Calibri" w:cs="Calibri"/>
          <w:sz w:val="18"/>
        </w:rPr>
        <w:t xml:space="preserve"> </w:t>
      </w:r>
    </w:p>
    <w:p w14:paraId="66A94367" w14:textId="77777777" w:rsidR="005777B8" w:rsidRDefault="005777B8" w:rsidP="005777B8">
      <w:pPr>
        <w:spacing w:after="18"/>
        <w:ind w:left="10" w:right="6" w:hanging="10"/>
        <w:jc w:val="center"/>
      </w:pPr>
      <w:r>
        <w:rPr>
          <w:rFonts w:ascii="Calibri" w:eastAsia="Calibri" w:hAnsi="Calibri" w:cs="Calibri"/>
          <w:b/>
        </w:rPr>
        <w:t>PRISCILA SANTANA DESTRO</w:t>
      </w:r>
    </w:p>
    <w:p w14:paraId="068BC74C" w14:textId="77777777" w:rsidR="005777B8" w:rsidRDefault="005777B8" w:rsidP="005777B8">
      <w:pPr>
        <w:spacing w:after="38"/>
        <w:ind w:left="10" w:right="7" w:hanging="10"/>
        <w:jc w:val="center"/>
      </w:pPr>
      <w:r>
        <w:rPr>
          <w:rFonts w:ascii="Calibri" w:eastAsia="Calibri" w:hAnsi="Calibri" w:cs="Calibri"/>
          <w:sz w:val="18"/>
        </w:rPr>
        <w:t>Supervisora</w:t>
      </w:r>
    </w:p>
    <w:p w14:paraId="3B697245" w14:textId="77777777" w:rsidR="005777B8" w:rsidRDefault="005777B8" w:rsidP="005777B8">
      <w:pPr>
        <w:spacing w:after="54"/>
        <w:ind w:right="7"/>
        <w:jc w:val="center"/>
      </w:pPr>
      <w:r>
        <w:rPr>
          <w:rFonts w:ascii="Calibri" w:eastAsia="Calibri" w:hAnsi="Calibri" w:cs="Calibri"/>
          <w:sz w:val="18"/>
        </w:rPr>
        <w:t xml:space="preserve"> </w:t>
      </w:r>
    </w:p>
    <w:p w14:paraId="7C6301D3" w14:textId="6DD413D7" w:rsidR="005777B8" w:rsidRDefault="005777B8" w:rsidP="00FD570E">
      <w:pPr>
        <w:spacing w:after="114"/>
        <w:ind w:right="7"/>
        <w:jc w:val="center"/>
      </w:pPr>
      <w:r>
        <w:rPr>
          <w:rFonts w:ascii="Calibri" w:eastAsia="Calibri" w:hAnsi="Calibri" w:cs="Calibri"/>
          <w:sz w:val="18"/>
        </w:rPr>
        <w:t xml:space="preserve">  </w:t>
      </w:r>
    </w:p>
    <w:p w14:paraId="7D49F45C" w14:textId="77777777" w:rsidR="005777B8" w:rsidRDefault="005777B8" w:rsidP="005777B8">
      <w:pPr>
        <w:spacing w:after="54"/>
        <w:ind w:right="7"/>
        <w:jc w:val="center"/>
      </w:pPr>
      <w:r>
        <w:rPr>
          <w:rFonts w:ascii="Calibri" w:eastAsia="Calibri" w:hAnsi="Calibri" w:cs="Calibri"/>
          <w:sz w:val="18"/>
        </w:rPr>
        <w:t xml:space="preserve"> </w:t>
      </w:r>
    </w:p>
    <w:p w14:paraId="19305F3E" w14:textId="77777777" w:rsidR="005777B8" w:rsidRDefault="005777B8" w:rsidP="005777B8">
      <w:pPr>
        <w:spacing w:after="95"/>
        <w:ind w:right="7"/>
        <w:jc w:val="center"/>
      </w:pPr>
      <w:r>
        <w:rPr>
          <w:rFonts w:ascii="Calibri" w:eastAsia="Calibri" w:hAnsi="Calibri" w:cs="Calibri"/>
          <w:sz w:val="18"/>
        </w:rPr>
        <w:t xml:space="preserve"> </w:t>
      </w:r>
    </w:p>
    <w:p w14:paraId="6FC27DB3" w14:textId="77777777" w:rsidR="005777B8" w:rsidRDefault="005777B8" w:rsidP="005777B8">
      <w:pPr>
        <w:pStyle w:val="Ttulo3"/>
        <w:spacing w:after="18"/>
        <w:ind w:left="10" w:right="6"/>
      </w:pPr>
      <w:r>
        <w:rPr>
          <w:rFonts w:ascii="Calibri" w:eastAsia="Calibri" w:hAnsi="Calibri" w:cs="Calibri"/>
          <w:sz w:val="22"/>
        </w:rPr>
        <w:t>ALESSANDRA VIEIRA SILVA</w:t>
      </w:r>
    </w:p>
    <w:p w14:paraId="135D345E" w14:textId="77777777" w:rsidR="005777B8" w:rsidRDefault="005777B8" w:rsidP="005777B8">
      <w:pPr>
        <w:spacing w:after="38"/>
        <w:ind w:left="10" w:right="6" w:hanging="10"/>
        <w:jc w:val="center"/>
      </w:pPr>
      <w:r>
        <w:rPr>
          <w:rFonts w:ascii="Calibri" w:eastAsia="Calibri" w:hAnsi="Calibri" w:cs="Calibri"/>
          <w:sz w:val="18"/>
        </w:rPr>
        <w:t>Equipe de apoio</w:t>
      </w:r>
    </w:p>
    <w:p w14:paraId="78EE6F64" w14:textId="1C01CC8A" w:rsidR="005777B8" w:rsidRDefault="005777B8" w:rsidP="005777B8">
      <w:pPr>
        <w:spacing w:after="831"/>
        <w:ind w:right="7"/>
        <w:jc w:val="center"/>
      </w:pPr>
    </w:p>
    <w:p w14:paraId="6E344244" w14:textId="77777777" w:rsidR="005777B8" w:rsidRPr="00FD570E" w:rsidRDefault="005777B8" w:rsidP="00FD570E">
      <w:pPr>
        <w:spacing w:after="198"/>
        <w:ind w:left="-5" w:hanging="10"/>
        <w:rPr>
          <w:rFonts w:ascii="Calibri" w:eastAsia="Calibri" w:hAnsi="Calibri" w:cs="Calibri"/>
          <w:b/>
        </w:rPr>
      </w:pPr>
      <w:r w:rsidRPr="00FD570E">
        <w:rPr>
          <w:rFonts w:ascii="Calibri" w:eastAsia="Calibri" w:hAnsi="Calibri" w:cs="Calibri"/>
          <w:b/>
        </w:rPr>
        <w:t>17. Declaração de Viabilidade</w:t>
      </w:r>
    </w:p>
    <w:p w14:paraId="65DF1D1E" w14:textId="77777777" w:rsidR="005777B8" w:rsidRDefault="005777B8" w:rsidP="005777B8">
      <w:pPr>
        <w:spacing w:after="202" w:line="262" w:lineRule="auto"/>
        <w:ind w:left="-5" w:hanging="10"/>
        <w:jc w:val="both"/>
      </w:pPr>
      <w:r>
        <w:rPr>
          <w:rFonts w:ascii="Calibri" w:eastAsia="Calibri" w:hAnsi="Calibri" w:cs="Calibri"/>
          <w:sz w:val="18"/>
        </w:rPr>
        <w:t xml:space="preserve">Esta equipe de planejamento declara </w:t>
      </w:r>
      <w:r>
        <w:rPr>
          <w:rFonts w:ascii="Calibri" w:eastAsia="Calibri" w:hAnsi="Calibri" w:cs="Calibri"/>
          <w:b/>
          <w:sz w:val="18"/>
        </w:rPr>
        <w:t>viável</w:t>
      </w:r>
      <w:r>
        <w:rPr>
          <w:rFonts w:ascii="Calibri" w:eastAsia="Calibri" w:hAnsi="Calibri" w:cs="Calibri"/>
          <w:sz w:val="18"/>
        </w:rPr>
        <w:t xml:space="preserve"> esta contratação.</w:t>
      </w:r>
    </w:p>
    <w:p w14:paraId="3B6CEFD3" w14:textId="77777777" w:rsidR="005777B8" w:rsidRPr="00FD570E" w:rsidRDefault="005777B8" w:rsidP="00FD570E">
      <w:pPr>
        <w:spacing w:after="198"/>
        <w:ind w:left="-5" w:hanging="10"/>
        <w:rPr>
          <w:rFonts w:ascii="Calibri" w:eastAsia="Calibri" w:hAnsi="Calibri" w:cs="Calibri"/>
          <w:b/>
        </w:rPr>
      </w:pPr>
      <w:r w:rsidRPr="00FD570E">
        <w:rPr>
          <w:rFonts w:ascii="Calibri" w:eastAsia="Calibri" w:hAnsi="Calibri" w:cs="Calibri"/>
          <w:b/>
        </w:rPr>
        <w:t>17.1. Justificativa da Viabilidade</w:t>
      </w:r>
    </w:p>
    <w:p w14:paraId="5D394904" w14:textId="77777777" w:rsidR="005777B8" w:rsidRDefault="005777B8" w:rsidP="005777B8">
      <w:pPr>
        <w:spacing w:after="723" w:line="262" w:lineRule="auto"/>
        <w:ind w:left="-5" w:hanging="10"/>
        <w:jc w:val="both"/>
      </w:pPr>
      <w:r>
        <w:rPr>
          <w:rFonts w:ascii="Calibri" w:eastAsia="Calibri" w:hAnsi="Calibri" w:cs="Calibri"/>
          <w:sz w:val="18"/>
        </w:rPr>
        <w:t>Conforme exposto neste documento e nos demais constantes neste processo, esta equipe de planejamento considera que a aquisição é viável, em razão do necessário atendimento do objeto para o Hospital das Clínicas da FMUSP, conforme planejamento anual da Instituição e disponibilidade no mercado, conforme demonstra o histórico de compras e de consumo dos últimos anos constante dos autos.</w:t>
      </w:r>
    </w:p>
    <w:p w14:paraId="5D94EDC1" w14:textId="55D89A14" w:rsidR="008925A2" w:rsidRDefault="008925A2" w:rsidP="008925A2">
      <w:pPr>
        <w:spacing w:after="165" w:line="240" w:lineRule="auto"/>
        <w:rPr>
          <w:rFonts w:ascii="Arial" w:eastAsia="Times New Roman" w:hAnsi="Arial" w:cs="Arial"/>
          <w:color w:val="000000"/>
          <w:sz w:val="18"/>
          <w:szCs w:val="18"/>
          <w:lang w:eastAsia="pt-BR"/>
        </w:rPr>
      </w:pPr>
    </w:p>
    <w:p w14:paraId="719BD7EA" w14:textId="02B7265F" w:rsidR="005777B8" w:rsidRDefault="005777B8" w:rsidP="008925A2">
      <w:pPr>
        <w:spacing w:after="165" w:line="240" w:lineRule="auto"/>
        <w:rPr>
          <w:rFonts w:ascii="Arial" w:eastAsia="Times New Roman" w:hAnsi="Arial" w:cs="Arial"/>
          <w:color w:val="000000"/>
          <w:sz w:val="18"/>
          <w:szCs w:val="18"/>
          <w:lang w:eastAsia="pt-BR"/>
        </w:rPr>
      </w:pPr>
    </w:p>
    <w:p w14:paraId="19BC9D5D" w14:textId="77777777" w:rsidR="00625A3A" w:rsidRPr="00625A3A" w:rsidRDefault="00625A3A" w:rsidP="00625A3A">
      <w:pPr>
        <w:pStyle w:val="Corpodetexto"/>
        <w:rPr>
          <w:rFonts w:ascii="Arial" w:hAnsi="Arial" w:cs="Arial"/>
          <w:sz w:val="18"/>
          <w:szCs w:val="18"/>
        </w:rPr>
      </w:pPr>
    </w:p>
    <w:p w14:paraId="73EDADC2" w14:textId="77777777" w:rsidR="00625A3A" w:rsidRPr="00625A3A" w:rsidRDefault="00625A3A" w:rsidP="00625A3A">
      <w:pPr>
        <w:pStyle w:val="Corpodetexto"/>
        <w:rPr>
          <w:rFonts w:ascii="Arial" w:hAnsi="Arial" w:cs="Arial"/>
          <w:sz w:val="18"/>
          <w:szCs w:val="18"/>
        </w:rPr>
      </w:pPr>
    </w:p>
    <w:p w14:paraId="002FD56E" w14:textId="77777777" w:rsidR="00625A3A" w:rsidRPr="00625A3A" w:rsidRDefault="00625A3A" w:rsidP="00625A3A">
      <w:pPr>
        <w:pStyle w:val="Corpodetexto"/>
        <w:rPr>
          <w:rFonts w:ascii="Arial" w:hAnsi="Arial" w:cs="Arial"/>
          <w:sz w:val="18"/>
          <w:szCs w:val="18"/>
        </w:rPr>
      </w:pPr>
    </w:p>
    <w:p w14:paraId="461B8A71" w14:textId="77777777" w:rsidR="00625A3A" w:rsidRPr="00625A3A" w:rsidRDefault="00625A3A" w:rsidP="00625A3A">
      <w:pPr>
        <w:pStyle w:val="Corpodetexto"/>
        <w:rPr>
          <w:rFonts w:ascii="Arial" w:hAnsi="Arial" w:cs="Arial"/>
          <w:sz w:val="18"/>
          <w:szCs w:val="18"/>
        </w:rPr>
      </w:pPr>
    </w:p>
    <w:p w14:paraId="299AF4B5" w14:textId="77777777" w:rsidR="00625A3A" w:rsidRPr="0085575B" w:rsidRDefault="00625A3A" w:rsidP="00625A3A">
      <w:pPr>
        <w:spacing w:before="280" w:line="268" w:lineRule="auto"/>
        <w:ind w:left="159" w:right="360"/>
        <w:rPr>
          <w:rFonts w:ascii="Arial" w:hAnsi="Arial" w:cs="Arial"/>
          <w:sz w:val="18"/>
          <w:szCs w:val="18"/>
        </w:rPr>
        <w:sectPr w:rsidR="00625A3A" w:rsidRPr="0085575B">
          <w:headerReference w:type="default" r:id="rId28"/>
          <w:pgSz w:w="11920" w:h="16850"/>
          <w:pgMar w:top="1020" w:right="1140" w:bottom="660" w:left="1140" w:header="473" w:footer="469" w:gutter="0"/>
          <w:cols w:space="720"/>
        </w:sectPr>
      </w:pPr>
    </w:p>
    <w:p w14:paraId="38AA9BF2" w14:textId="77777777" w:rsidR="003D577F" w:rsidRPr="00E528A3" w:rsidRDefault="003D577F" w:rsidP="00E528A3">
      <w:pPr>
        <w:spacing w:after="0" w:line="240" w:lineRule="auto"/>
        <w:ind w:left="40" w:right="40"/>
        <w:jc w:val="center"/>
        <w:rPr>
          <w:rFonts w:ascii="Arial" w:eastAsia="Times New Roman" w:hAnsi="Arial" w:cs="Arial"/>
          <w:color w:val="000000"/>
          <w:sz w:val="18"/>
          <w:szCs w:val="18"/>
          <w:lang w:eastAsia="pt-BR"/>
        </w:rPr>
      </w:pPr>
      <w:r w:rsidRPr="00E528A3">
        <w:rPr>
          <w:rFonts w:ascii="Arial" w:eastAsia="Times New Roman" w:hAnsi="Arial" w:cs="Arial"/>
          <w:b/>
          <w:bCs/>
          <w:color w:val="000000"/>
          <w:sz w:val="18"/>
          <w:szCs w:val="18"/>
          <w:lang w:eastAsia="pt-BR"/>
        </w:rPr>
        <w:lastRenderedPageBreak/>
        <w:t>APÊNDICE.2</w:t>
      </w:r>
    </w:p>
    <w:p w14:paraId="042D64BD" w14:textId="77777777" w:rsidR="003D577F" w:rsidRDefault="003D577F" w:rsidP="00E528A3">
      <w:pPr>
        <w:spacing w:after="0" w:line="240" w:lineRule="auto"/>
        <w:ind w:left="40" w:right="40"/>
        <w:jc w:val="center"/>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Protocolo de Avaliação Técnica de Amostra:</w:t>
      </w:r>
    </w:p>
    <w:p w14:paraId="5C7E679F" w14:textId="77777777" w:rsidR="002D64BE" w:rsidRDefault="002D64BE" w:rsidP="00E528A3">
      <w:pPr>
        <w:spacing w:after="0" w:line="240" w:lineRule="auto"/>
        <w:ind w:left="40" w:right="40"/>
        <w:jc w:val="center"/>
        <w:rPr>
          <w:rFonts w:ascii="Arial" w:eastAsia="Times New Roman" w:hAnsi="Arial" w:cs="Arial"/>
          <w:color w:val="000000"/>
          <w:sz w:val="18"/>
          <w:szCs w:val="18"/>
          <w:lang w:eastAsia="pt-BR"/>
        </w:rPr>
      </w:pPr>
    </w:p>
    <w:p w14:paraId="785A2B1B" w14:textId="77777777" w:rsidR="002D64BE" w:rsidRPr="00E528A3" w:rsidRDefault="002D64BE" w:rsidP="00E528A3">
      <w:pPr>
        <w:spacing w:after="0" w:line="240" w:lineRule="auto"/>
        <w:ind w:left="40" w:right="40"/>
        <w:jc w:val="center"/>
        <w:rPr>
          <w:rFonts w:ascii="Arial" w:eastAsia="Times New Roman" w:hAnsi="Arial" w:cs="Arial"/>
          <w:color w:val="000000"/>
          <w:sz w:val="18"/>
          <w:szCs w:val="18"/>
          <w:lang w:eastAsia="pt-BR"/>
        </w:rPr>
      </w:pPr>
    </w:p>
    <w:p w14:paraId="36349DAD"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b/>
          <w:bCs/>
          <w:color w:val="000000"/>
          <w:sz w:val="18"/>
          <w:szCs w:val="18"/>
          <w:lang w:eastAsia="pt-BR"/>
        </w:rPr>
        <w:t>1. Objetivo</w:t>
      </w:r>
    </w:p>
    <w:p w14:paraId="1B91BADC"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40BA4890"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Avaliar os quesitos da especificação técnica do item em parceria com usuário conforme os critérios de avaliação no anexo.</w:t>
      </w:r>
    </w:p>
    <w:p w14:paraId="457E9075"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2378B1AC"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b/>
          <w:bCs/>
          <w:color w:val="000000"/>
          <w:sz w:val="18"/>
          <w:szCs w:val="18"/>
          <w:lang w:eastAsia="pt-BR"/>
        </w:rPr>
        <w:t>2. Análise Técnico-Desempenho Funcional</w:t>
      </w:r>
    </w:p>
    <w:p w14:paraId="6844CCCD"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3271D2F4"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2.1. Local</w:t>
      </w:r>
    </w:p>
    <w:p w14:paraId="53B6A57E"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20F7BE39"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Unidade de Internação, Pronto Socorro, Centro Cirúrgico, UTI, Ambulatórios, e demais Serviços de Apoio dos Institutos do Hospital das Clínicas da Faculdade de Medicina da Universidade de São Paulo - HCFMUSP.</w:t>
      </w:r>
    </w:p>
    <w:p w14:paraId="5B495650"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27813173"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2.2. Período</w:t>
      </w:r>
    </w:p>
    <w:p w14:paraId="2252E252"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60C11996"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O licitante da melhor oferta poderá acompanhar a análise visual da amostra após o seu recebimento. O dia, horário e local específicos serão informados no chat. </w:t>
      </w:r>
    </w:p>
    <w:p w14:paraId="6AFF795D"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A avaliação funcional do desempenho do produto será realizada pelos usuários dentro de um período estabelecido pela equipe técnica baseado na ficha de avaliação correspondente.</w:t>
      </w:r>
    </w:p>
    <w:p w14:paraId="65DFD7DF"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57698637"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2.3. Equipes:</w:t>
      </w:r>
    </w:p>
    <w:p w14:paraId="064EBDA8"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15CE890F"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Equipe de Apoio - GTAM - Grupo Técnico de Assessoria em Materiais (gtam@hc.fm.usp.br) do Hospital das Clinicas da FMUSP. </w:t>
      </w:r>
    </w:p>
    <w:p w14:paraId="2F6CD2AD"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Equipe Técnica - Equipe Médica e Multiprofissional do Complexo do Hospital das Clínicas da FMUSP (Enfermagem, Fisioterapia, Técnicos, Engenharia Clínica e outros) </w:t>
      </w:r>
    </w:p>
    <w:p w14:paraId="7CDB0299"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78FF99EB" w14:textId="1584DA83" w:rsidR="00520434" w:rsidRDefault="003D577F" w:rsidP="001902E0">
      <w:pPr>
        <w:pStyle w:val="Corpodetexto"/>
        <w:numPr>
          <w:ilvl w:val="1"/>
          <w:numId w:val="5"/>
        </w:numPr>
        <w:spacing w:before="139"/>
        <w:rPr>
          <w:rFonts w:ascii="Arial" w:eastAsia="Times New Roman" w:hAnsi="Arial" w:cs="Arial"/>
          <w:color w:val="000000"/>
          <w:sz w:val="18"/>
          <w:szCs w:val="18"/>
          <w:lang w:eastAsia="pt-BR"/>
        </w:rPr>
      </w:pPr>
      <w:r w:rsidRPr="007D080E">
        <w:rPr>
          <w:rFonts w:ascii="Arial" w:eastAsia="Times New Roman" w:hAnsi="Arial" w:cs="Arial"/>
          <w:color w:val="000000"/>
          <w:sz w:val="18"/>
          <w:szCs w:val="18"/>
          <w:lang w:eastAsia="pt-BR"/>
        </w:rPr>
        <w:t>Material - amostras a serem analisadas: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7"/>
        <w:gridCol w:w="4635"/>
        <w:gridCol w:w="784"/>
        <w:gridCol w:w="739"/>
        <w:gridCol w:w="721"/>
        <w:gridCol w:w="791"/>
        <w:gridCol w:w="905"/>
      </w:tblGrid>
      <w:tr w:rsidR="00FD570E" w:rsidRPr="00EE10E2" w14:paraId="1B61537B" w14:textId="77777777" w:rsidTr="00222E56">
        <w:tc>
          <w:tcPr>
            <w:tcW w:w="0" w:type="auto"/>
            <w:shd w:val="clear" w:color="auto" w:fill="auto"/>
          </w:tcPr>
          <w:p w14:paraId="7673DFD3" w14:textId="77777777" w:rsidR="00FD570E" w:rsidRPr="00EE10E2" w:rsidRDefault="00FD570E" w:rsidP="00222E56">
            <w:pPr>
              <w:spacing w:after="120"/>
              <w:rPr>
                <w:rFonts w:cstheme="minorHAnsi"/>
                <w:b/>
                <w:sz w:val="14"/>
                <w:szCs w:val="14"/>
              </w:rPr>
            </w:pPr>
            <w:r w:rsidRPr="00EE10E2">
              <w:rPr>
                <w:rFonts w:cstheme="minorHAnsi"/>
                <w:b/>
                <w:sz w:val="14"/>
                <w:szCs w:val="14"/>
              </w:rPr>
              <w:t>Item</w:t>
            </w:r>
          </w:p>
        </w:tc>
        <w:tc>
          <w:tcPr>
            <w:tcW w:w="0" w:type="auto"/>
            <w:shd w:val="clear" w:color="auto" w:fill="auto"/>
          </w:tcPr>
          <w:p w14:paraId="565E87A1" w14:textId="77777777" w:rsidR="00FD570E" w:rsidRPr="00EE10E2" w:rsidRDefault="00FD570E" w:rsidP="00222E56">
            <w:pPr>
              <w:spacing w:after="120"/>
              <w:rPr>
                <w:rFonts w:cstheme="minorHAnsi"/>
                <w:b/>
                <w:sz w:val="14"/>
                <w:szCs w:val="14"/>
              </w:rPr>
            </w:pPr>
            <w:r w:rsidRPr="00EE10E2">
              <w:rPr>
                <w:rFonts w:cstheme="minorHAnsi"/>
                <w:b/>
                <w:sz w:val="14"/>
                <w:szCs w:val="14"/>
              </w:rPr>
              <w:t>Especificação</w:t>
            </w:r>
          </w:p>
        </w:tc>
        <w:tc>
          <w:tcPr>
            <w:tcW w:w="0" w:type="auto"/>
            <w:shd w:val="clear" w:color="auto" w:fill="auto"/>
          </w:tcPr>
          <w:p w14:paraId="03860D93" w14:textId="77777777" w:rsidR="00FD570E" w:rsidRPr="00EE10E2" w:rsidRDefault="00FD570E" w:rsidP="00222E56">
            <w:pPr>
              <w:spacing w:after="120"/>
              <w:rPr>
                <w:rFonts w:cstheme="minorHAnsi"/>
                <w:b/>
                <w:sz w:val="14"/>
                <w:szCs w:val="14"/>
              </w:rPr>
            </w:pPr>
            <w:r w:rsidRPr="00EE10E2">
              <w:rPr>
                <w:rFonts w:cstheme="minorHAnsi"/>
                <w:b/>
                <w:sz w:val="14"/>
                <w:szCs w:val="14"/>
              </w:rPr>
              <w:t>Código</w:t>
            </w:r>
          </w:p>
        </w:tc>
        <w:tc>
          <w:tcPr>
            <w:tcW w:w="0" w:type="auto"/>
            <w:shd w:val="clear" w:color="auto" w:fill="auto"/>
          </w:tcPr>
          <w:p w14:paraId="48C36AF6" w14:textId="77777777" w:rsidR="00FD570E" w:rsidRPr="00EE10E2" w:rsidRDefault="00FD570E" w:rsidP="00222E56">
            <w:pPr>
              <w:spacing w:after="120"/>
              <w:rPr>
                <w:rFonts w:cstheme="minorHAnsi"/>
                <w:b/>
                <w:sz w:val="14"/>
                <w:szCs w:val="14"/>
              </w:rPr>
            </w:pPr>
            <w:r w:rsidRPr="00EE10E2">
              <w:rPr>
                <w:rFonts w:cstheme="minorHAnsi"/>
                <w:b/>
                <w:sz w:val="14"/>
                <w:szCs w:val="14"/>
              </w:rPr>
              <w:t>Cód. Siafisico</w:t>
            </w:r>
          </w:p>
        </w:tc>
        <w:tc>
          <w:tcPr>
            <w:tcW w:w="0" w:type="auto"/>
            <w:shd w:val="clear" w:color="auto" w:fill="auto"/>
          </w:tcPr>
          <w:p w14:paraId="0BEB3FCE" w14:textId="77777777" w:rsidR="00FD570E" w:rsidRPr="00EE10E2" w:rsidRDefault="00FD570E" w:rsidP="00222E56">
            <w:pPr>
              <w:spacing w:after="120"/>
              <w:rPr>
                <w:rFonts w:cstheme="minorHAnsi"/>
                <w:b/>
                <w:sz w:val="14"/>
                <w:szCs w:val="14"/>
              </w:rPr>
            </w:pPr>
            <w:r w:rsidRPr="00EE10E2">
              <w:rPr>
                <w:rFonts w:cstheme="minorHAnsi"/>
                <w:b/>
                <w:sz w:val="14"/>
                <w:szCs w:val="14"/>
              </w:rPr>
              <w:t>CATMAT</w:t>
            </w:r>
          </w:p>
        </w:tc>
        <w:tc>
          <w:tcPr>
            <w:tcW w:w="0" w:type="auto"/>
            <w:shd w:val="clear" w:color="auto" w:fill="auto"/>
          </w:tcPr>
          <w:p w14:paraId="5AFB6C8B" w14:textId="77777777" w:rsidR="00FD570E" w:rsidRPr="00EE10E2" w:rsidRDefault="00FD570E" w:rsidP="00222E56">
            <w:pPr>
              <w:spacing w:after="120"/>
              <w:rPr>
                <w:rFonts w:cstheme="minorHAnsi"/>
                <w:b/>
                <w:sz w:val="14"/>
                <w:szCs w:val="14"/>
              </w:rPr>
            </w:pPr>
            <w:r w:rsidRPr="00EE10E2">
              <w:rPr>
                <w:rFonts w:cstheme="minorHAnsi"/>
                <w:b/>
                <w:sz w:val="14"/>
                <w:szCs w:val="14"/>
              </w:rPr>
              <w:t>Und. de medida</w:t>
            </w:r>
          </w:p>
        </w:tc>
        <w:tc>
          <w:tcPr>
            <w:tcW w:w="0" w:type="auto"/>
            <w:shd w:val="clear" w:color="auto" w:fill="auto"/>
          </w:tcPr>
          <w:p w14:paraId="7A7FFEDD" w14:textId="77777777" w:rsidR="00FD570E" w:rsidRPr="00EE10E2" w:rsidRDefault="00FD570E" w:rsidP="00222E56">
            <w:pPr>
              <w:spacing w:after="120"/>
              <w:rPr>
                <w:rFonts w:cstheme="minorHAnsi"/>
                <w:b/>
                <w:sz w:val="14"/>
                <w:szCs w:val="14"/>
              </w:rPr>
            </w:pPr>
            <w:r w:rsidRPr="00EE10E2">
              <w:rPr>
                <w:rFonts w:cstheme="minorHAnsi"/>
                <w:b/>
                <w:sz w:val="14"/>
                <w:szCs w:val="14"/>
              </w:rPr>
              <w:t>Quantidade</w:t>
            </w:r>
          </w:p>
        </w:tc>
      </w:tr>
      <w:tr w:rsidR="00FD570E" w:rsidRPr="00EE10E2" w14:paraId="5BF630BE" w14:textId="77777777" w:rsidTr="00222E56">
        <w:tc>
          <w:tcPr>
            <w:tcW w:w="0" w:type="auto"/>
            <w:shd w:val="clear" w:color="auto" w:fill="auto"/>
          </w:tcPr>
          <w:p w14:paraId="7FCC5E6F" w14:textId="77777777" w:rsidR="00FD570E" w:rsidRPr="00EE10E2" w:rsidRDefault="00FD570E" w:rsidP="00222E56">
            <w:pPr>
              <w:spacing w:after="120"/>
              <w:rPr>
                <w:rFonts w:cstheme="minorHAnsi"/>
                <w:sz w:val="14"/>
                <w:szCs w:val="14"/>
              </w:rPr>
            </w:pPr>
            <w:r w:rsidRPr="00EE10E2">
              <w:rPr>
                <w:rFonts w:cstheme="minorHAnsi"/>
                <w:sz w:val="14"/>
                <w:szCs w:val="14"/>
              </w:rPr>
              <w:t>1</w:t>
            </w:r>
          </w:p>
        </w:tc>
        <w:tc>
          <w:tcPr>
            <w:tcW w:w="0" w:type="auto"/>
            <w:shd w:val="clear" w:color="auto" w:fill="auto"/>
          </w:tcPr>
          <w:p w14:paraId="5E4FD6D6" w14:textId="77777777" w:rsidR="00FD570E" w:rsidRPr="00EE10E2" w:rsidRDefault="00FD570E" w:rsidP="00222E56">
            <w:pPr>
              <w:spacing w:after="120"/>
              <w:rPr>
                <w:rFonts w:cstheme="minorHAnsi"/>
                <w:sz w:val="14"/>
                <w:szCs w:val="14"/>
              </w:rPr>
            </w:pPr>
            <w:r w:rsidRPr="00EE10E2">
              <w:rPr>
                <w:rFonts w:cstheme="minorHAnsi"/>
                <w:sz w:val="14"/>
                <w:szCs w:val="14"/>
              </w:rPr>
              <w:t>AVENTAL DE PROTECAO PARA ASSISTENCIA AO PACIENTE, COR AMARELA, EM SMS, GRAMATURA MINIMA 30G/M², DIMENSOES MINIMAS DE 1,20 M DE COMPRIMENTO E 1,40 M DE LARGURA, ATOXICO, HIDRO/HEMORREPELENTE, HIPOALERGENICO, RESPIRAVEL E COM BAIXO DESPRENDIMENTO DE PARTICULAS. MANGA LONGA, PUNHO COM ELASTICO OU MALHA CANELADA; DECOTE CARECA COM ACABAMENTO EM VIES NA GOLA, COM 02 TIRAS COSTURADAS OU SELADAS,  COMPRIMENTO MINIMO DE 25 CM CADA, QUE PERMITA FECHAMENTO ADEQUADO NO PESCOCO; 02 TIRAS COSTURADAS OU SELADAS  NA CINTURA, COM COMPRIMENTO TOTAL MÍNIMO DE 1,80 M, QUE PERMITA FECHAMENTO TRANSPASSADO, PROPORCIONANDO PROTECAO TOTAL DAS COSTAS. TODAS AS COSTURAS DO AVENTAL COM ACABAMENTO EM OVERLOQUE OU SELADA.  EMBALAGEM QUE GARANTA A INTEGRIDADE DO PRODUTO, EM CONFORMIDADE COM A LEGISLACAO VIGENTE-  ANVISA; ANEXAR LAUDO DE GRAMATURA E LAUDO DE BFE, AMBOS DE NO MAXIMO 02 ANOS.</w:t>
            </w:r>
          </w:p>
        </w:tc>
        <w:tc>
          <w:tcPr>
            <w:tcW w:w="0" w:type="auto"/>
            <w:shd w:val="clear" w:color="auto" w:fill="auto"/>
          </w:tcPr>
          <w:p w14:paraId="37F1BC2A" w14:textId="77777777" w:rsidR="00FD570E" w:rsidRPr="00EE10E2" w:rsidRDefault="00FD570E" w:rsidP="00222E56">
            <w:pPr>
              <w:spacing w:after="120"/>
              <w:rPr>
                <w:rFonts w:cstheme="minorHAnsi"/>
                <w:sz w:val="14"/>
                <w:szCs w:val="14"/>
              </w:rPr>
            </w:pPr>
            <w:r w:rsidRPr="00EE10E2">
              <w:rPr>
                <w:rFonts w:cstheme="minorHAnsi"/>
                <w:sz w:val="14"/>
                <w:szCs w:val="14"/>
              </w:rPr>
              <w:t>61230140</w:t>
            </w:r>
          </w:p>
        </w:tc>
        <w:tc>
          <w:tcPr>
            <w:tcW w:w="0" w:type="auto"/>
            <w:shd w:val="clear" w:color="auto" w:fill="auto"/>
          </w:tcPr>
          <w:p w14:paraId="4FCC6ABA" w14:textId="77777777" w:rsidR="00FD570E" w:rsidRPr="00EE10E2" w:rsidRDefault="00FD570E" w:rsidP="00222E56">
            <w:pPr>
              <w:spacing w:after="120"/>
              <w:rPr>
                <w:rFonts w:cstheme="minorHAnsi"/>
                <w:sz w:val="14"/>
                <w:szCs w:val="14"/>
              </w:rPr>
            </w:pPr>
            <w:r w:rsidRPr="00EE10E2">
              <w:rPr>
                <w:rFonts w:cstheme="minorHAnsi"/>
                <w:sz w:val="14"/>
                <w:szCs w:val="14"/>
              </w:rPr>
              <w:t>5022231</w:t>
            </w:r>
          </w:p>
        </w:tc>
        <w:tc>
          <w:tcPr>
            <w:tcW w:w="0" w:type="auto"/>
            <w:shd w:val="clear" w:color="auto" w:fill="auto"/>
          </w:tcPr>
          <w:p w14:paraId="702748BE" w14:textId="77777777" w:rsidR="00FD570E" w:rsidRPr="00EE10E2" w:rsidRDefault="00FD570E" w:rsidP="00222E56">
            <w:pPr>
              <w:spacing w:after="120"/>
              <w:rPr>
                <w:rFonts w:cstheme="minorHAnsi"/>
                <w:sz w:val="14"/>
                <w:szCs w:val="14"/>
              </w:rPr>
            </w:pPr>
            <w:r w:rsidRPr="00EE10E2">
              <w:rPr>
                <w:rFonts w:cstheme="minorHAnsi"/>
                <w:sz w:val="14"/>
                <w:szCs w:val="14"/>
              </w:rPr>
              <w:t>604955</w:t>
            </w:r>
          </w:p>
        </w:tc>
        <w:tc>
          <w:tcPr>
            <w:tcW w:w="0" w:type="auto"/>
            <w:shd w:val="clear" w:color="auto" w:fill="auto"/>
          </w:tcPr>
          <w:p w14:paraId="2E1EA5CC" w14:textId="77777777" w:rsidR="00FD570E" w:rsidRPr="00EE10E2" w:rsidRDefault="00FD570E" w:rsidP="00222E56">
            <w:pPr>
              <w:spacing w:after="120"/>
              <w:rPr>
                <w:rFonts w:cstheme="minorHAnsi"/>
                <w:sz w:val="14"/>
                <w:szCs w:val="14"/>
              </w:rPr>
            </w:pPr>
            <w:r w:rsidRPr="00EE10E2">
              <w:rPr>
                <w:rFonts w:cstheme="minorHAnsi"/>
                <w:sz w:val="14"/>
                <w:szCs w:val="14"/>
              </w:rPr>
              <w:t>UNIDADE</w:t>
            </w:r>
          </w:p>
        </w:tc>
        <w:tc>
          <w:tcPr>
            <w:tcW w:w="0" w:type="auto"/>
            <w:shd w:val="clear" w:color="auto" w:fill="auto"/>
          </w:tcPr>
          <w:p w14:paraId="68CB57DA" w14:textId="6D85D579" w:rsidR="00FD570E" w:rsidRPr="00EE10E2" w:rsidRDefault="00FD570E" w:rsidP="00FD570E">
            <w:pPr>
              <w:spacing w:after="120"/>
              <w:jc w:val="center"/>
              <w:rPr>
                <w:rFonts w:cstheme="minorHAnsi"/>
                <w:sz w:val="14"/>
                <w:szCs w:val="14"/>
              </w:rPr>
            </w:pPr>
            <w:r>
              <w:rPr>
                <w:rFonts w:cstheme="minorHAnsi"/>
                <w:sz w:val="14"/>
                <w:szCs w:val="14"/>
              </w:rPr>
              <w:t>50</w:t>
            </w:r>
          </w:p>
        </w:tc>
      </w:tr>
    </w:tbl>
    <w:p w14:paraId="25D19B54" w14:textId="77777777" w:rsidR="002D64BE" w:rsidRPr="00456894" w:rsidRDefault="000D6C07" w:rsidP="00520434">
      <w:pPr>
        <w:pStyle w:val="Corpodetexto"/>
        <w:spacing w:before="139"/>
        <w:rPr>
          <w:rFonts w:ascii="Arial" w:eastAsia="Times New Roman" w:hAnsi="Arial" w:cs="Arial"/>
          <w:color w:val="000000"/>
          <w:sz w:val="18"/>
          <w:szCs w:val="18"/>
          <w:lang w:eastAsia="pt-BR"/>
        </w:rPr>
      </w:pPr>
      <w:r w:rsidRPr="00456894">
        <w:rPr>
          <w:rFonts w:ascii="Arial" w:eastAsia="Times New Roman" w:hAnsi="Arial" w:cs="Arial"/>
          <w:color w:val="000000"/>
          <w:sz w:val="18"/>
          <w:szCs w:val="18"/>
          <w:lang w:eastAsia="pt-BR"/>
        </w:rPr>
        <w:t xml:space="preserve">        </w:t>
      </w:r>
      <w:r w:rsidR="00CB2DBA" w:rsidRPr="00456894">
        <w:rPr>
          <w:rFonts w:ascii="Arial" w:eastAsia="Times New Roman" w:hAnsi="Arial" w:cs="Arial"/>
          <w:color w:val="000000"/>
          <w:sz w:val="18"/>
          <w:szCs w:val="18"/>
          <w:lang w:eastAsia="pt-BR"/>
        </w:rPr>
        <w:t xml:space="preserve"> </w:t>
      </w:r>
      <w:r w:rsidR="00CF15A1" w:rsidRPr="00456894">
        <w:rPr>
          <w:rFonts w:ascii="Arial" w:eastAsia="Times New Roman" w:hAnsi="Arial" w:cs="Arial"/>
          <w:color w:val="000000"/>
          <w:sz w:val="18"/>
          <w:szCs w:val="18"/>
          <w:lang w:eastAsia="pt-BR"/>
        </w:rPr>
        <w:t>2.5 Metodo</w:t>
      </w:r>
      <w:r w:rsidR="00E43017" w:rsidRPr="00456894">
        <w:rPr>
          <w:rFonts w:ascii="Arial" w:eastAsia="Times New Roman" w:hAnsi="Arial" w:cs="Arial"/>
          <w:color w:val="000000"/>
          <w:sz w:val="18"/>
          <w:szCs w:val="18"/>
          <w:lang w:eastAsia="pt-BR"/>
        </w:rPr>
        <w:t xml:space="preserve"> </w:t>
      </w:r>
    </w:p>
    <w:p w14:paraId="7540B07A"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2.5.1- Análise da proposta para dispensa da amostra:</w:t>
      </w:r>
    </w:p>
    <w:p w14:paraId="4DBF4167"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Produto ofertado: verificar-se se o produto corresponde ao solicitado no edital – observam-se as características físicas pré-estabelecidas, podendo considerar a variação aceitável</w:t>
      </w:r>
    </w:p>
    <w:p w14:paraId="3D3CDF10"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Registro na ANVISA: a não conformidade ou inconsistência com os dados do registro ou cadastro ou notificação na ANVISA é motivo para desclassificação da proposta.</w:t>
      </w:r>
    </w:p>
    <w:p w14:paraId="63465010"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Identificação: nome do produto, marca, modelo, lote, dimensões, referência, fabricante, origem;</w:t>
      </w:r>
    </w:p>
    <w:p w14:paraId="1B7A5B31"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Matéria prima: coberturas, composições: todos os itens que compõem um conjunto devem ser verificados conforme constante no edital;</w:t>
      </w:r>
    </w:p>
    <w:p w14:paraId="4009376D"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Dimensões: calibre, comprimento, gramatura, espessura, volume e demais requisitos solicitados no edital;</w:t>
      </w:r>
    </w:p>
    <w:p w14:paraId="3CA01528"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Esterilização: não estéril ou se estéril, método de esterilização e a validade de esterilização;</w:t>
      </w:r>
    </w:p>
    <w:p w14:paraId="64588116"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Certificado de Aprovação do Ministério do Trabalho (CA), quando aplicável;</w:t>
      </w:r>
    </w:p>
    <w:p w14:paraId="325D15DD"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Laudo de gramatura, quando aplicável</w:t>
      </w:r>
    </w:p>
    <w:p w14:paraId="381C9634"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Selo de conformidade do Inmetro, quando aplicável;</w:t>
      </w:r>
    </w:p>
    <w:p w14:paraId="3BBB1757"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Se todas as características estão claras na proposta, se a marca tem histórico de utilização na instituição e se não tiver registro de Queixa Técnica (QT) ou Evento Adverso (EA) envolvendo o produto, é emitido parecer favorável ao produto ofertado e o pregão seguirá para finalização. Caso contrário, as amostras serão solicitadas.</w:t>
      </w:r>
    </w:p>
    <w:p w14:paraId="137B4544"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7B1D0150"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2.5.2- Análise física das amostras</w:t>
      </w:r>
    </w:p>
    <w:p w14:paraId="22C8626F"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lastRenderedPageBreak/>
        <w:t>As amostras são solicitadas em embalagens padrão de comercialização. Portanto, durante o recebimento, examina-se:</w:t>
      </w:r>
    </w:p>
    <w:p w14:paraId="7C750646"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Identificação: identificação do licitante, número do pregão, número do processo, número do item;</w:t>
      </w:r>
    </w:p>
    <w:p w14:paraId="307EB659"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Condições da amostra: acondicionamento, integridade;</w:t>
      </w:r>
    </w:p>
    <w:p w14:paraId="0826452F"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Quantitativo: quantidade solicitada na sessão do pregão;</w:t>
      </w:r>
    </w:p>
    <w:p w14:paraId="3F38CF2D"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Conformidade do produto de acordo com o descritivo constante no edital;</w:t>
      </w:r>
    </w:p>
    <w:p w14:paraId="0170C68C"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Rotulagem: atendimento à RDC Nº 751, DE 15 DE SETEMBRO DE 2022;</w:t>
      </w:r>
    </w:p>
    <w:p w14:paraId="5E7D8A20"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Requisitos técnicos (quando aplicável) e conforme solicitado no edital: gramatura, Certificado de Aprovação do Ministério do Trabalho, Eficiência de Filtração Bacteriana (BFE) e ou viral (VFE), Normas Técnicas da Associação Brasileira de Normas Técnicas (ABNT) e da </w:t>
      </w:r>
      <w:r w:rsidRPr="00E528A3">
        <w:rPr>
          <w:rFonts w:ascii="Arial" w:eastAsia="Times New Roman" w:hAnsi="Arial" w:cs="Arial"/>
          <w:i/>
          <w:iCs/>
          <w:color w:val="000000"/>
          <w:sz w:val="18"/>
          <w:szCs w:val="18"/>
          <w:lang w:eastAsia="pt-BR"/>
        </w:rPr>
        <w:t>International Organization for Standardization</w:t>
      </w:r>
      <w:r w:rsidRPr="00E528A3">
        <w:rPr>
          <w:rFonts w:ascii="Arial" w:eastAsia="Times New Roman" w:hAnsi="Arial" w:cs="Arial"/>
          <w:color w:val="000000"/>
          <w:sz w:val="18"/>
          <w:szCs w:val="18"/>
          <w:lang w:eastAsia="pt-BR"/>
        </w:rPr>
        <w:t> (ISO), certificação do Instituto Nacional de Metrologia, Qualidade e Tecnologia (Inmetro), entre outros.</w:t>
      </w:r>
    </w:p>
    <w:p w14:paraId="1128E058"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2.5.3- Avaliação funcional e de desempenho</w:t>
      </w:r>
    </w:p>
    <w:p w14:paraId="6833526E"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A análise funcional e de desempenho é feita por profissionais com a devida expertise na sua utilização, baseada nos princípios de </w:t>
      </w:r>
      <w:r w:rsidRPr="00E528A3">
        <w:rPr>
          <w:rFonts w:ascii="Arial" w:eastAsia="Times New Roman" w:hAnsi="Arial" w:cs="Arial"/>
          <w:i/>
          <w:iCs/>
          <w:color w:val="000000"/>
          <w:sz w:val="18"/>
          <w:szCs w:val="18"/>
          <w:lang w:eastAsia="pt-BR"/>
        </w:rPr>
        <w:t>compliance</w:t>
      </w:r>
      <w:r w:rsidRPr="00E528A3">
        <w:rPr>
          <w:rFonts w:ascii="Arial" w:eastAsia="Times New Roman" w:hAnsi="Arial" w:cs="Arial"/>
          <w:color w:val="000000"/>
          <w:sz w:val="18"/>
          <w:szCs w:val="18"/>
          <w:lang w:eastAsia="pt-BR"/>
        </w:rPr>
        <w:t> estabelecidos pela instituição (HCFMUSP, 2018b) e em estrita conformidade com os princípios da isonomia, impessoalidade, legalidade e moralidade, regidos pela Lei 14.133de 01/04/2021.</w:t>
      </w:r>
    </w:p>
    <w:p w14:paraId="13EE2439"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Cada produto a ser analisado é acompanhado de uma Ficha de Avaliação, conforme exemplificado no Apêndice 1.1 e inclui os requisitos mais relevantes. Nela, o usuário aponta os aspectos positivos e negativos com as devidas justificativas que servirão de subsídios para elaboração do parecer final. Cabe à equipe de apoio acompanhar as avaliações junto aos usuários para uma melhor compreensão da avaliação feita, considerando sempre os aspectos técnicos.</w:t>
      </w:r>
    </w:p>
    <w:p w14:paraId="31F06584"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Em razão do grande volume de atendimentos no Complexo HCFMUSP, e embora esteja composto de institutos com diferentes especialidades, para os dispositivos médicos (DM) de uso comum (exemplo: seringas, equipos, luvas, fitas adesivas, equipamentos, entre outros), as avaliações podem ser realizadas pelos membros das comissões específicas (de estomaterapia, terapia intravenosa, entre outros), em conjunto ou em cada instituto. O parecer final é obtido a partir do consenso entre os resultados destas avaliações.</w:t>
      </w:r>
    </w:p>
    <w:p w14:paraId="6E734561"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Assim, nesta etapa, o rigor na análise da equipe de apoio é fundamental pois, deverá prevalecer no parecer final qualquer reprovação que tenha motivo relevante, independentemente do número de pareceres com aprovação.</w:t>
      </w:r>
    </w:p>
    <w:p w14:paraId="57397E91" w14:textId="77777777" w:rsidR="003D577F"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Portanto cabe à equipe de apoio realizar análise criteriosa, focando nos aspectos técnicos e objetivos para evitar tanto a classificação como a desclassificação injusta.</w:t>
      </w:r>
    </w:p>
    <w:p w14:paraId="53B962E8" w14:textId="77777777" w:rsidR="00E93667" w:rsidRDefault="00E93667" w:rsidP="002D64BE">
      <w:pPr>
        <w:spacing w:after="0" w:line="240" w:lineRule="auto"/>
        <w:ind w:left="426" w:right="40"/>
        <w:rPr>
          <w:rFonts w:ascii="Arial" w:eastAsia="Times New Roman" w:hAnsi="Arial" w:cs="Arial"/>
          <w:color w:val="000000"/>
          <w:sz w:val="18"/>
          <w:szCs w:val="18"/>
          <w:lang w:eastAsia="pt-BR"/>
        </w:rPr>
      </w:pPr>
    </w:p>
    <w:p w14:paraId="0A143D25" w14:textId="77777777" w:rsidR="00E93667" w:rsidRDefault="00E93667" w:rsidP="002D64BE">
      <w:pPr>
        <w:spacing w:after="0" w:line="240" w:lineRule="auto"/>
        <w:ind w:left="426" w:right="40"/>
        <w:rPr>
          <w:rFonts w:ascii="Arial" w:eastAsia="Times New Roman" w:hAnsi="Arial" w:cs="Arial"/>
          <w:color w:val="000000"/>
          <w:sz w:val="18"/>
          <w:szCs w:val="18"/>
          <w:lang w:eastAsia="pt-BR"/>
        </w:rPr>
      </w:pPr>
    </w:p>
    <w:p w14:paraId="457A6645" w14:textId="77777777" w:rsidR="00E93667" w:rsidRDefault="00E93667" w:rsidP="002D64BE">
      <w:pPr>
        <w:spacing w:after="0" w:line="240" w:lineRule="auto"/>
        <w:ind w:left="426" w:right="40"/>
        <w:rPr>
          <w:rFonts w:ascii="Arial" w:eastAsia="Times New Roman" w:hAnsi="Arial" w:cs="Arial"/>
          <w:color w:val="000000"/>
          <w:sz w:val="18"/>
          <w:szCs w:val="18"/>
          <w:lang w:eastAsia="pt-BR"/>
        </w:rPr>
      </w:pPr>
    </w:p>
    <w:p w14:paraId="03B236E4" w14:textId="77777777" w:rsidR="00334B96" w:rsidRDefault="00334B96" w:rsidP="002D64BE">
      <w:pPr>
        <w:spacing w:after="0" w:line="240" w:lineRule="auto"/>
        <w:ind w:left="426" w:right="40"/>
        <w:rPr>
          <w:rFonts w:ascii="Arial" w:eastAsia="Times New Roman" w:hAnsi="Arial" w:cs="Arial"/>
          <w:color w:val="000000"/>
          <w:sz w:val="18"/>
          <w:szCs w:val="18"/>
          <w:lang w:eastAsia="pt-BR"/>
        </w:rPr>
      </w:pPr>
    </w:p>
    <w:p w14:paraId="66F089CA" w14:textId="77777777" w:rsidR="00AD38B3" w:rsidRDefault="00AD38B3">
      <w:pPr>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br w:type="page"/>
      </w:r>
    </w:p>
    <w:p w14:paraId="34E2F6BB" w14:textId="4FAB967F" w:rsidR="003D577F" w:rsidRDefault="00E155A1" w:rsidP="00AD38B3">
      <w:pPr>
        <w:spacing w:after="0" w:line="240" w:lineRule="auto"/>
        <w:ind w:left="40" w:right="40"/>
        <w:jc w:val="center"/>
        <w:rPr>
          <w:rFonts w:ascii="Arial" w:eastAsia="Times New Roman" w:hAnsi="Arial" w:cs="Arial"/>
          <w:b/>
          <w:bCs/>
          <w:color w:val="000000"/>
          <w:sz w:val="20"/>
          <w:szCs w:val="20"/>
          <w:lang w:eastAsia="pt-BR"/>
        </w:rPr>
      </w:pPr>
      <w:bookmarkStart w:id="18" w:name="Pregao7"/>
      <w:bookmarkEnd w:id="18"/>
      <w:r>
        <w:rPr>
          <w:rFonts w:ascii="Arial" w:eastAsia="Times New Roman" w:hAnsi="Arial" w:cs="Arial"/>
          <w:b/>
          <w:bCs/>
          <w:color w:val="000000"/>
          <w:sz w:val="20"/>
          <w:szCs w:val="20"/>
          <w:lang w:eastAsia="pt-BR"/>
        </w:rPr>
        <w:lastRenderedPageBreak/>
        <w:t>A</w:t>
      </w:r>
      <w:r w:rsidR="00AD38B3">
        <w:rPr>
          <w:rFonts w:ascii="Arial" w:eastAsia="Times New Roman" w:hAnsi="Arial" w:cs="Arial"/>
          <w:b/>
          <w:bCs/>
          <w:color w:val="000000"/>
          <w:sz w:val="20"/>
          <w:szCs w:val="20"/>
          <w:lang w:eastAsia="pt-BR"/>
        </w:rPr>
        <w:t>PÊ</w:t>
      </w:r>
      <w:r w:rsidR="003D577F" w:rsidRPr="00E91AE3">
        <w:rPr>
          <w:rFonts w:ascii="Arial" w:eastAsia="Times New Roman" w:hAnsi="Arial" w:cs="Arial"/>
          <w:b/>
          <w:bCs/>
          <w:color w:val="000000"/>
          <w:sz w:val="20"/>
          <w:szCs w:val="20"/>
          <w:lang w:eastAsia="pt-BR"/>
        </w:rPr>
        <w:t>NDICE.2.1</w:t>
      </w:r>
    </w:p>
    <w:p w14:paraId="2C7D0466" w14:textId="548F55E5" w:rsidR="00AD38B3" w:rsidRDefault="00AD38B3">
      <w:pPr>
        <w:rPr>
          <w:rFonts w:ascii="Arial" w:eastAsia="Times New Roman" w:hAnsi="Arial" w:cs="Arial"/>
          <w:b/>
          <w:bCs/>
          <w:color w:val="000000"/>
          <w:sz w:val="18"/>
          <w:szCs w:val="18"/>
          <w:lang w:eastAsia="pt-BR"/>
        </w:rPr>
      </w:pPr>
    </w:p>
    <w:p w14:paraId="514E6EA0" w14:textId="77777777" w:rsidR="00FD570E" w:rsidRPr="00FD570E" w:rsidRDefault="00C11B71" w:rsidP="00FD570E">
      <w:pPr>
        <w:tabs>
          <w:tab w:val="left" w:pos="345"/>
          <w:tab w:val="center" w:pos="4252"/>
          <w:tab w:val="right" w:pos="8504"/>
        </w:tabs>
        <w:spacing w:after="0" w:line="240" w:lineRule="auto"/>
        <w:jc w:val="center"/>
        <w:rPr>
          <w:rFonts w:ascii="Times New Roman" w:eastAsia="Times New Roman" w:hAnsi="Times New Roman" w:cs="Times New Roman"/>
          <w:b/>
          <w:bCs/>
          <w:u w:val="single"/>
        </w:rPr>
      </w:pPr>
      <w:r>
        <w:rPr>
          <w:rFonts w:ascii="Arial" w:eastAsia="Times New Roman" w:hAnsi="Arial" w:cs="Arial"/>
          <w:b/>
          <w:bCs/>
          <w:color w:val="000000"/>
          <w:sz w:val="18"/>
          <w:szCs w:val="18"/>
          <w:lang w:eastAsia="pt-BR"/>
        </w:rPr>
        <w:br w:type="page"/>
      </w:r>
      <w:r w:rsidR="00FD570E" w:rsidRPr="00FD570E">
        <w:rPr>
          <w:rFonts w:ascii="Times New Roman" w:eastAsia="Times New Roman" w:hAnsi="Times New Roman" w:cs="Times New Roman"/>
          <w:b/>
          <w:bCs/>
          <w:u w:val="single"/>
        </w:rPr>
        <w:lastRenderedPageBreak/>
        <w:t>REQUISITOS A SEREM  AVALIADOS NAS AMOSTRAS</w:t>
      </w:r>
    </w:p>
    <w:p w14:paraId="48F6C804" w14:textId="77777777" w:rsidR="00FD570E" w:rsidRPr="00FD570E" w:rsidRDefault="00FD570E" w:rsidP="00FD570E">
      <w:pPr>
        <w:tabs>
          <w:tab w:val="left" w:pos="345"/>
          <w:tab w:val="center" w:pos="4252"/>
          <w:tab w:val="right" w:pos="8504"/>
        </w:tabs>
        <w:spacing w:after="120" w:line="240" w:lineRule="auto"/>
        <w:jc w:val="center"/>
        <w:rPr>
          <w:rFonts w:ascii="Times New Roman" w:eastAsia="Times New Roman" w:hAnsi="Times New Roman" w:cs="Times New Roman"/>
          <w:b/>
          <w:bCs/>
          <w:u w:val="single"/>
        </w:rPr>
      </w:pPr>
      <w:r w:rsidRPr="00FD570E">
        <w:rPr>
          <w:rFonts w:ascii="Times New Roman" w:eastAsia="Times New Roman" w:hAnsi="Times New Roman" w:cs="Times New Roman"/>
          <w:b/>
          <w:bCs/>
          <w:u w:val="single"/>
        </w:rPr>
        <w:t>DE PRODUTOS MÉDICO HOSPITALARES</w:t>
      </w:r>
    </w:p>
    <w:p w14:paraId="3E641DC4" w14:textId="77777777" w:rsidR="00FD570E" w:rsidRPr="00FD570E" w:rsidRDefault="00FD570E" w:rsidP="00FD570E">
      <w:pPr>
        <w:tabs>
          <w:tab w:val="left" w:pos="345"/>
          <w:tab w:val="center" w:pos="4252"/>
          <w:tab w:val="right" w:pos="8504"/>
        </w:tabs>
        <w:spacing w:after="120" w:line="240" w:lineRule="auto"/>
        <w:jc w:val="center"/>
        <w:rPr>
          <w:rFonts w:ascii="Times New Roman" w:eastAsia="Times New Roman" w:hAnsi="Times New Roman" w:cs="Times New Roman"/>
          <w:b/>
          <w:bCs/>
          <w:u w:val="single"/>
        </w:rPr>
      </w:pPr>
    </w:p>
    <w:p w14:paraId="21D6B9A7" w14:textId="77777777" w:rsidR="00FD570E" w:rsidRPr="00FD570E" w:rsidRDefault="00FD570E" w:rsidP="00FD570E">
      <w:pPr>
        <w:tabs>
          <w:tab w:val="left" w:pos="345"/>
          <w:tab w:val="center" w:pos="4252"/>
          <w:tab w:val="right" w:pos="8504"/>
        </w:tabs>
        <w:spacing w:after="120" w:line="240" w:lineRule="auto"/>
        <w:ind w:left="-567" w:firstLine="567"/>
        <w:rPr>
          <w:rFonts w:ascii="Times New Roman" w:eastAsia="Times New Roman" w:hAnsi="Times New Roman" w:cs="Times New Roman"/>
          <w:bCs/>
        </w:rPr>
      </w:pPr>
      <w:r w:rsidRPr="00FD570E">
        <w:rPr>
          <w:rFonts w:ascii="Times New Roman" w:eastAsia="Times New Roman" w:hAnsi="Times New Roman" w:cs="Times New Roman"/>
          <w:bCs/>
        </w:rPr>
        <w:t xml:space="preserve">Processo:                                          Pregão:                                      Item: 01 </w:t>
      </w:r>
    </w:p>
    <w:p w14:paraId="459D0027" w14:textId="77777777" w:rsidR="00FD570E" w:rsidRPr="00FD570E" w:rsidRDefault="00FD570E" w:rsidP="00FD570E">
      <w:pPr>
        <w:tabs>
          <w:tab w:val="left" w:pos="345"/>
          <w:tab w:val="center" w:pos="4252"/>
          <w:tab w:val="right" w:pos="8504"/>
        </w:tabs>
        <w:spacing w:after="120" w:line="240" w:lineRule="auto"/>
        <w:ind w:left="-567" w:firstLine="567"/>
        <w:rPr>
          <w:rFonts w:ascii="Times New Roman" w:eastAsia="Times New Roman" w:hAnsi="Times New Roman" w:cs="Times New Roman"/>
          <w:bCs/>
        </w:rPr>
      </w:pPr>
    </w:p>
    <w:p w14:paraId="331BB2C2" w14:textId="77777777" w:rsidR="00FD570E" w:rsidRPr="00FD570E" w:rsidRDefault="00FD570E" w:rsidP="00FD570E">
      <w:pPr>
        <w:tabs>
          <w:tab w:val="left" w:pos="345"/>
          <w:tab w:val="center" w:pos="4252"/>
          <w:tab w:val="right" w:pos="8504"/>
        </w:tabs>
        <w:spacing w:after="120" w:line="240" w:lineRule="auto"/>
        <w:rPr>
          <w:rFonts w:ascii="Times New Roman" w:eastAsia="Times New Roman" w:hAnsi="Times New Roman" w:cs="Times New Roman"/>
          <w:bCs/>
          <w:sz w:val="20"/>
          <w:szCs w:val="20"/>
        </w:rPr>
      </w:pPr>
      <w:r w:rsidRPr="00FD570E">
        <w:rPr>
          <w:rFonts w:ascii="Times New Roman" w:eastAsia="Times New Roman" w:hAnsi="Times New Roman" w:cs="Times New Roman"/>
          <w:bCs/>
          <w:sz w:val="20"/>
          <w:szCs w:val="20"/>
        </w:rPr>
        <w:t>Código /Descritivo:61230140-AVENTAL DE PROTECAO PARA ASSISTENCIA AO PACIENTE EM AREA DE ISOLAMENTO, COR AMARELA, CONFECCIONADO EM 100% NAO TECIDO POLIPROPILENO, GRAMATURA MINIMA 30G/M², DIMENSOES MINIMAS DE 1,20 M DE COMPRIMENTO E 1,40 M DE LARGURA, ATOXICO, HIDRO/HEMORREPELENTE, HIPOALERGENICO, RESPIRAVEL E COM BAIXO DESPRENDIMENTO DE PARTICULAS. MANGA LONGA, PUNHO COM ELASTICO OU MALHA CANELADA; DECOTE CARECA COM ACABAMENTO EM VIES NA GOLA, COM 02 TIRAS COSTURADAS OU SELADAS,  COMPRIMENTO MINIMO DE 25 CM CADA, QUE PERMITA FECHAMENTO ADEQUADO NO PESCOCO; 02 TIRAS COSTURADAS OU SELADAS  NA CINTURA, COM COMPRIMENTO TOTAL MÍNIMO DE 1,80 M, QUE PERMITA FECHAMENTO TRANSPASSADO, PROPORCIONANDO PROTECAO TOTAL DAS COSTAS. TODAS AS COSTURAS DO AVENTAL COM ACABAMENTO EM OVERLOQUE OU SELADA.  EMBALAGEM QUE GARANTA A INTEGRIDADE DO PRODUTO, EM CONFORMIDADE COM A LEGISLACAO VIGENTE-  ANVISA; ANEXAR LAUDO QUE COMPROVE A GRAMATURA.</w:t>
      </w:r>
    </w:p>
    <w:p w14:paraId="48A5871B" w14:textId="77777777" w:rsidR="00FD570E" w:rsidRPr="00FD570E" w:rsidRDefault="00FD570E" w:rsidP="00FD570E">
      <w:pPr>
        <w:spacing w:after="0" w:line="240" w:lineRule="auto"/>
        <w:rPr>
          <w:rFonts w:ascii="Times New Roman" w:eastAsia="Times New Roman" w:hAnsi="Times New Roman" w:cs="Times New Roman"/>
          <w:bCs/>
          <w:sz w:val="20"/>
          <w:szCs w:val="20"/>
        </w:rPr>
      </w:pPr>
      <w:r w:rsidRPr="00FD570E">
        <w:rPr>
          <w:rFonts w:ascii="Times New Roman" w:eastAsia="Times New Roman" w:hAnsi="Times New Roman" w:cs="Times New Roman"/>
          <w:bCs/>
          <w:sz w:val="20"/>
          <w:szCs w:val="20"/>
        </w:rPr>
        <w:t>Licitante /FOR:</w:t>
      </w:r>
    </w:p>
    <w:p w14:paraId="113CED5B" w14:textId="77777777" w:rsidR="00FD570E" w:rsidRPr="00FD570E" w:rsidRDefault="00FD570E" w:rsidP="00FD570E">
      <w:pPr>
        <w:spacing w:after="0" w:line="240" w:lineRule="auto"/>
        <w:rPr>
          <w:rFonts w:ascii="Times New Roman" w:eastAsia="Times New Roman" w:hAnsi="Times New Roman" w:cs="Times New Roman"/>
          <w:bCs/>
          <w:sz w:val="20"/>
          <w:szCs w:val="20"/>
        </w:rPr>
      </w:pPr>
    </w:p>
    <w:p w14:paraId="696A67AA" w14:textId="77777777" w:rsidR="00FD570E" w:rsidRPr="00FD570E" w:rsidRDefault="00FD570E" w:rsidP="00FD570E">
      <w:pPr>
        <w:spacing w:after="0" w:line="240" w:lineRule="auto"/>
        <w:rPr>
          <w:rFonts w:ascii="Times New Roman" w:eastAsia="Times New Roman" w:hAnsi="Times New Roman" w:cs="Times New Roman"/>
          <w:bCs/>
          <w:sz w:val="20"/>
          <w:szCs w:val="20"/>
        </w:rPr>
      </w:pPr>
      <w:r w:rsidRPr="00FD570E">
        <w:rPr>
          <w:rFonts w:ascii="Times New Roman" w:eastAsia="Times New Roman" w:hAnsi="Times New Roman" w:cs="Times New Roman"/>
          <w:bCs/>
          <w:sz w:val="20"/>
          <w:szCs w:val="20"/>
        </w:rPr>
        <w:t>Marca:                                                     Referência:                                            Agrupamento:</w:t>
      </w:r>
    </w:p>
    <w:p w14:paraId="3217DA06" w14:textId="77777777" w:rsidR="00FD570E" w:rsidRPr="00FD570E" w:rsidRDefault="00FD570E" w:rsidP="00FD570E">
      <w:pPr>
        <w:spacing w:after="0" w:line="240" w:lineRule="auto"/>
        <w:rPr>
          <w:rFonts w:ascii="Times New Roman" w:eastAsia="Times New Roman" w:hAnsi="Times New Roman" w:cs="Times New Roman"/>
          <w:bCs/>
          <w:sz w:val="20"/>
          <w:szCs w:val="20"/>
        </w:rPr>
      </w:pPr>
    </w:p>
    <w:p w14:paraId="5813D5EB" w14:textId="77777777" w:rsidR="00FD570E" w:rsidRPr="00FD570E" w:rsidRDefault="00FD570E" w:rsidP="00FD570E">
      <w:pPr>
        <w:spacing w:after="0" w:line="240" w:lineRule="auto"/>
        <w:rPr>
          <w:rFonts w:ascii="Times New Roman" w:eastAsia="Times New Roman" w:hAnsi="Times New Roman" w:cs="Times New Roman"/>
          <w:bCs/>
          <w:sz w:val="20"/>
          <w:szCs w:val="20"/>
          <w:lang w:val="en-US"/>
        </w:rPr>
      </w:pPr>
      <w:r w:rsidRPr="00FD570E">
        <w:rPr>
          <w:rFonts w:ascii="Times New Roman" w:eastAsia="Times New Roman" w:hAnsi="Times New Roman" w:cs="Times New Roman"/>
          <w:bCs/>
          <w:sz w:val="20"/>
          <w:szCs w:val="20"/>
          <w:lang w:val="en-US"/>
        </w:rPr>
        <w:t xml:space="preserve">Registro ANVISA:                                                            </w:t>
      </w:r>
    </w:p>
    <w:p w14:paraId="0C028BFD" w14:textId="77777777" w:rsidR="00FD570E" w:rsidRPr="00FD570E" w:rsidRDefault="00FD570E" w:rsidP="00FD570E">
      <w:pPr>
        <w:rPr>
          <w:rFonts w:ascii="Calibri" w:eastAsia="Times New Roman" w:hAnsi="Calibri" w:cs="Times New Roman"/>
        </w:rPr>
      </w:pPr>
    </w:p>
    <w:tbl>
      <w:tblPr>
        <w:tblW w:w="0"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77"/>
        <w:gridCol w:w="2693"/>
        <w:gridCol w:w="1134"/>
        <w:gridCol w:w="1134"/>
        <w:gridCol w:w="3544"/>
      </w:tblGrid>
      <w:tr w:rsidR="00FD570E" w:rsidRPr="00FD570E" w14:paraId="679D40CF" w14:textId="77777777" w:rsidTr="00620A60">
        <w:tc>
          <w:tcPr>
            <w:tcW w:w="3970" w:type="dxa"/>
            <w:gridSpan w:val="2"/>
            <w:vAlign w:val="center"/>
            <w:hideMark/>
          </w:tcPr>
          <w:p w14:paraId="58C126CD" w14:textId="77777777" w:rsidR="00FD570E" w:rsidRPr="00FD570E" w:rsidRDefault="00FD570E" w:rsidP="00FD570E">
            <w:pPr>
              <w:spacing w:after="0" w:line="240" w:lineRule="auto"/>
              <w:jc w:val="center"/>
              <w:rPr>
                <w:rFonts w:ascii="Times New Roman" w:eastAsia="Times New Roman" w:hAnsi="Times New Roman" w:cs="Times New Roman"/>
                <w:b/>
                <w:sz w:val="24"/>
                <w:szCs w:val="24"/>
                <w:lang w:eastAsia="pt-BR"/>
              </w:rPr>
            </w:pPr>
            <w:r w:rsidRPr="00FD570E">
              <w:rPr>
                <w:rFonts w:ascii="Times New Roman" w:eastAsia="Times New Roman" w:hAnsi="Times New Roman" w:cs="Times New Roman"/>
                <w:b/>
                <w:sz w:val="24"/>
                <w:szCs w:val="24"/>
                <w:lang w:eastAsia="pt-BR"/>
              </w:rPr>
              <w:t>Requisitos</w:t>
            </w:r>
          </w:p>
        </w:tc>
        <w:tc>
          <w:tcPr>
            <w:tcW w:w="1134" w:type="dxa"/>
            <w:vAlign w:val="center"/>
            <w:hideMark/>
          </w:tcPr>
          <w:p w14:paraId="04FA61AA" w14:textId="77777777" w:rsidR="00FD570E" w:rsidRPr="00FD570E" w:rsidRDefault="00FD570E" w:rsidP="00FD570E">
            <w:pPr>
              <w:spacing w:after="0" w:line="240" w:lineRule="auto"/>
              <w:jc w:val="center"/>
              <w:rPr>
                <w:rFonts w:ascii="Times New Roman" w:eastAsia="Times New Roman" w:hAnsi="Times New Roman" w:cs="Times New Roman"/>
                <w:b/>
                <w:sz w:val="20"/>
                <w:szCs w:val="20"/>
                <w:lang w:eastAsia="pt-BR"/>
              </w:rPr>
            </w:pPr>
            <w:r w:rsidRPr="00FD570E">
              <w:rPr>
                <w:rFonts w:ascii="Times New Roman" w:eastAsia="Times New Roman" w:hAnsi="Times New Roman" w:cs="Times New Roman"/>
                <w:b/>
                <w:sz w:val="20"/>
                <w:szCs w:val="20"/>
                <w:lang w:eastAsia="pt-BR"/>
              </w:rPr>
              <w:t>ATENDE</w:t>
            </w:r>
          </w:p>
        </w:tc>
        <w:tc>
          <w:tcPr>
            <w:tcW w:w="1134" w:type="dxa"/>
            <w:vAlign w:val="center"/>
            <w:hideMark/>
          </w:tcPr>
          <w:p w14:paraId="14816C69" w14:textId="77777777" w:rsidR="00FD570E" w:rsidRPr="00FD570E" w:rsidRDefault="00FD570E" w:rsidP="00FD570E">
            <w:pPr>
              <w:spacing w:after="0" w:line="240" w:lineRule="auto"/>
              <w:jc w:val="center"/>
              <w:rPr>
                <w:rFonts w:ascii="Times New Roman" w:eastAsia="Times New Roman" w:hAnsi="Times New Roman" w:cs="Times New Roman"/>
                <w:b/>
                <w:sz w:val="20"/>
                <w:szCs w:val="20"/>
                <w:lang w:eastAsia="pt-BR"/>
              </w:rPr>
            </w:pPr>
            <w:r w:rsidRPr="00FD570E">
              <w:rPr>
                <w:rFonts w:ascii="Times New Roman" w:eastAsia="Times New Roman" w:hAnsi="Times New Roman" w:cs="Times New Roman"/>
                <w:b/>
                <w:sz w:val="20"/>
                <w:szCs w:val="20"/>
                <w:lang w:eastAsia="pt-BR"/>
              </w:rPr>
              <w:t>NÃO ATENDE</w:t>
            </w:r>
          </w:p>
        </w:tc>
        <w:tc>
          <w:tcPr>
            <w:tcW w:w="3544" w:type="dxa"/>
            <w:vAlign w:val="center"/>
            <w:hideMark/>
          </w:tcPr>
          <w:p w14:paraId="4428ADB8" w14:textId="77777777" w:rsidR="00FD570E" w:rsidRPr="00FD570E" w:rsidRDefault="00FD570E" w:rsidP="00FD570E">
            <w:pPr>
              <w:spacing w:after="0" w:line="240" w:lineRule="auto"/>
              <w:jc w:val="center"/>
              <w:rPr>
                <w:rFonts w:ascii="Times New Roman" w:eastAsia="Times New Roman" w:hAnsi="Times New Roman" w:cs="Times New Roman"/>
                <w:b/>
                <w:sz w:val="20"/>
                <w:szCs w:val="20"/>
                <w:lang w:eastAsia="pt-BR"/>
              </w:rPr>
            </w:pPr>
            <w:r w:rsidRPr="00FD570E">
              <w:rPr>
                <w:rFonts w:ascii="Times New Roman" w:eastAsia="Times New Roman" w:hAnsi="Times New Roman" w:cs="Times New Roman"/>
                <w:b/>
                <w:sz w:val="20"/>
                <w:szCs w:val="20"/>
                <w:lang w:eastAsia="pt-BR"/>
              </w:rPr>
              <w:t>Justificativa</w:t>
            </w:r>
          </w:p>
        </w:tc>
      </w:tr>
      <w:tr w:rsidR="00FD570E" w:rsidRPr="00FD570E" w14:paraId="7A733C4B" w14:textId="77777777" w:rsidTr="00620A60">
        <w:tc>
          <w:tcPr>
            <w:tcW w:w="1277" w:type="dxa"/>
            <w:vMerge w:val="restart"/>
            <w:vAlign w:val="center"/>
            <w:hideMark/>
          </w:tcPr>
          <w:p w14:paraId="16CC44A8" w14:textId="77777777" w:rsidR="00FD570E" w:rsidRPr="00FD570E" w:rsidRDefault="00FD570E" w:rsidP="00FD570E">
            <w:pPr>
              <w:spacing w:after="0" w:line="240" w:lineRule="auto"/>
              <w:rPr>
                <w:rFonts w:ascii="Times New Roman" w:eastAsia="Times New Roman" w:hAnsi="Times New Roman" w:cs="Times New Roman"/>
                <w:sz w:val="24"/>
                <w:szCs w:val="24"/>
                <w:lang w:eastAsia="pt-BR"/>
              </w:rPr>
            </w:pPr>
            <w:r w:rsidRPr="00FD570E">
              <w:rPr>
                <w:rFonts w:ascii="Times New Roman" w:eastAsia="Times New Roman" w:hAnsi="Times New Roman" w:cs="Times New Roman"/>
                <w:sz w:val="24"/>
                <w:szCs w:val="24"/>
                <w:lang w:eastAsia="pt-BR"/>
              </w:rPr>
              <w:t>Embalagem</w:t>
            </w:r>
          </w:p>
        </w:tc>
        <w:tc>
          <w:tcPr>
            <w:tcW w:w="2693" w:type="dxa"/>
            <w:hideMark/>
          </w:tcPr>
          <w:p w14:paraId="35729362" w14:textId="77777777" w:rsidR="00FD570E" w:rsidRPr="00FD570E" w:rsidRDefault="00FD570E" w:rsidP="00FD570E">
            <w:pPr>
              <w:numPr>
                <w:ilvl w:val="12"/>
                <w:numId w:val="0"/>
              </w:numPr>
              <w:spacing w:after="0" w:line="240" w:lineRule="auto"/>
              <w:rPr>
                <w:rFonts w:ascii="Times New Roman" w:eastAsia="Times New Roman" w:hAnsi="Times New Roman" w:cs="Times New Roman"/>
                <w:sz w:val="20"/>
                <w:szCs w:val="20"/>
                <w:lang w:eastAsia="pt-BR"/>
              </w:rPr>
            </w:pPr>
            <w:r w:rsidRPr="00FD570E">
              <w:rPr>
                <w:rFonts w:ascii="Times New Roman" w:eastAsia="Times New Roman" w:hAnsi="Times New Roman" w:cs="Times New Roman"/>
                <w:sz w:val="20"/>
                <w:szCs w:val="20"/>
                <w:lang w:eastAsia="pt-BR"/>
              </w:rPr>
              <w:t>Identificação do produto</w:t>
            </w:r>
          </w:p>
        </w:tc>
        <w:tc>
          <w:tcPr>
            <w:tcW w:w="1134" w:type="dxa"/>
          </w:tcPr>
          <w:p w14:paraId="078CF2D8" w14:textId="77777777" w:rsidR="00FD570E" w:rsidRPr="00FD570E" w:rsidRDefault="00FD570E" w:rsidP="00FD570E">
            <w:pPr>
              <w:spacing w:after="0" w:line="240" w:lineRule="auto"/>
              <w:rPr>
                <w:rFonts w:ascii="Times New Roman" w:eastAsia="Times New Roman" w:hAnsi="Times New Roman" w:cs="Times New Roman"/>
                <w:i/>
                <w:szCs w:val="20"/>
                <w:lang w:eastAsia="pt-BR"/>
              </w:rPr>
            </w:pPr>
          </w:p>
        </w:tc>
        <w:tc>
          <w:tcPr>
            <w:tcW w:w="1134" w:type="dxa"/>
          </w:tcPr>
          <w:p w14:paraId="454CEC96" w14:textId="77777777" w:rsidR="00FD570E" w:rsidRPr="00FD570E" w:rsidRDefault="00FD570E" w:rsidP="00FD570E">
            <w:pPr>
              <w:spacing w:after="0" w:line="240" w:lineRule="auto"/>
              <w:rPr>
                <w:rFonts w:ascii="Times New Roman" w:eastAsia="Times New Roman" w:hAnsi="Times New Roman" w:cs="Times New Roman"/>
                <w:i/>
                <w:szCs w:val="20"/>
                <w:lang w:eastAsia="pt-BR"/>
              </w:rPr>
            </w:pPr>
          </w:p>
        </w:tc>
        <w:tc>
          <w:tcPr>
            <w:tcW w:w="3544" w:type="dxa"/>
          </w:tcPr>
          <w:p w14:paraId="331CFF19" w14:textId="77777777" w:rsidR="00FD570E" w:rsidRPr="00FD570E" w:rsidRDefault="00FD570E" w:rsidP="00FD570E">
            <w:pPr>
              <w:spacing w:after="0" w:line="240" w:lineRule="auto"/>
              <w:rPr>
                <w:rFonts w:ascii="Times New Roman" w:eastAsia="Times New Roman" w:hAnsi="Times New Roman" w:cs="Times New Roman"/>
                <w:i/>
                <w:szCs w:val="20"/>
                <w:lang w:eastAsia="pt-BR"/>
              </w:rPr>
            </w:pPr>
          </w:p>
        </w:tc>
      </w:tr>
      <w:tr w:rsidR="00FD570E" w:rsidRPr="00FD570E" w14:paraId="61683A6F" w14:textId="77777777" w:rsidTr="00620A60">
        <w:tc>
          <w:tcPr>
            <w:tcW w:w="3970" w:type="dxa"/>
            <w:vMerge/>
            <w:vAlign w:val="center"/>
            <w:hideMark/>
          </w:tcPr>
          <w:p w14:paraId="31DCFDC3" w14:textId="77777777" w:rsidR="00FD570E" w:rsidRPr="00FD570E" w:rsidRDefault="00FD570E" w:rsidP="00FD570E">
            <w:pPr>
              <w:spacing w:after="0" w:line="240" w:lineRule="auto"/>
              <w:rPr>
                <w:rFonts w:ascii="Times New Roman" w:eastAsia="Times New Roman" w:hAnsi="Times New Roman" w:cs="Times New Roman"/>
                <w:sz w:val="24"/>
                <w:szCs w:val="24"/>
                <w:lang w:eastAsia="pt-BR"/>
              </w:rPr>
            </w:pPr>
          </w:p>
        </w:tc>
        <w:tc>
          <w:tcPr>
            <w:tcW w:w="2693" w:type="dxa"/>
            <w:hideMark/>
          </w:tcPr>
          <w:p w14:paraId="05FFE6B4" w14:textId="77777777" w:rsidR="00FD570E" w:rsidRPr="00FD570E" w:rsidRDefault="00FD570E" w:rsidP="00FD570E">
            <w:pPr>
              <w:numPr>
                <w:ilvl w:val="12"/>
                <w:numId w:val="0"/>
              </w:numPr>
              <w:spacing w:after="0" w:line="240" w:lineRule="auto"/>
              <w:rPr>
                <w:rFonts w:ascii="Times New Roman" w:eastAsia="Times New Roman" w:hAnsi="Times New Roman" w:cs="Times New Roman"/>
                <w:sz w:val="20"/>
                <w:szCs w:val="20"/>
                <w:lang w:eastAsia="pt-BR"/>
              </w:rPr>
            </w:pPr>
            <w:r w:rsidRPr="00FD570E">
              <w:rPr>
                <w:rFonts w:ascii="Times New Roman" w:eastAsia="Times New Roman" w:hAnsi="Times New Roman" w:cs="Times New Roman"/>
                <w:sz w:val="20"/>
                <w:szCs w:val="20"/>
                <w:lang w:eastAsia="pt-BR"/>
              </w:rPr>
              <w:t>Indicação de gramatura</w:t>
            </w:r>
          </w:p>
        </w:tc>
        <w:tc>
          <w:tcPr>
            <w:tcW w:w="1134" w:type="dxa"/>
          </w:tcPr>
          <w:p w14:paraId="45423818" w14:textId="77777777" w:rsidR="00FD570E" w:rsidRPr="00FD570E" w:rsidRDefault="00FD570E" w:rsidP="00FD570E">
            <w:pPr>
              <w:spacing w:after="0" w:line="240" w:lineRule="auto"/>
              <w:rPr>
                <w:rFonts w:ascii="Times New Roman" w:eastAsia="Times New Roman" w:hAnsi="Times New Roman" w:cs="Times New Roman"/>
                <w:i/>
                <w:szCs w:val="20"/>
                <w:lang w:eastAsia="pt-BR"/>
              </w:rPr>
            </w:pPr>
          </w:p>
        </w:tc>
        <w:tc>
          <w:tcPr>
            <w:tcW w:w="1134" w:type="dxa"/>
          </w:tcPr>
          <w:p w14:paraId="186ECD1C" w14:textId="77777777" w:rsidR="00FD570E" w:rsidRPr="00FD570E" w:rsidRDefault="00FD570E" w:rsidP="00FD570E">
            <w:pPr>
              <w:spacing w:after="0" w:line="240" w:lineRule="auto"/>
              <w:rPr>
                <w:rFonts w:ascii="Times New Roman" w:eastAsia="Times New Roman" w:hAnsi="Times New Roman" w:cs="Times New Roman"/>
                <w:i/>
                <w:szCs w:val="20"/>
                <w:lang w:eastAsia="pt-BR"/>
              </w:rPr>
            </w:pPr>
          </w:p>
        </w:tc>
        <w:tc>
          <w:tcPr>
            <w:tcW w:w="3544" w:type="dxa"/>
          </w:tcPr>
          <w:p w14:paraId="6DBF5D39" w14:textId="77777777" w:rsidR="00FD570E" w:rsidRPr="00FD570E" w:rsidRDefault="00FD570E" w:rsidP="00FD570E">
            <w:pPr>
              <w:spacing w:after="0" w:line="240" w:lineRule="auto"/>
              <w:rPr>
                <w:rFonts w:ascii="Times New Roman" w:eastAsia="Times New Roman" w:hAnsi="Times New Roman" w:cs="Times New Roman"/>
                <w:i/>
                <w:szCs w:val="20"/>
                <w:lang w:eastAsia="pt-BR"/>
              </w:rPr>
            </w:pPr>
          </w:p>
        </w:tc>
      </w:tr>
      <w:tr w:rsidR="00FD570E" w:rsidRPr="00FD570E" w14:paraId="0EAD38CD" w14:textId="77777777" w:rsidTr="00620A60">
        <w:tc>
          <w:tcPr>
            <w:tcW w:w="3970" w:type="dxa"/>
            <w:vMerge/>
            <w:vAlign w:val="center"/>
            <w:hideMark/>
          </w:tcPr>
          <w:p w14:paraId="76968F5C" w14:textId="77777777" w:rsidR="00FD570E" w:rsidRPr="00FD570E" w:rsidRDefault="00FD570E" w:rsidP="00FD570E">
            <w:pPr>
              <w:spacing w:after="0" w:line="240" w:lineRule="auto"/>
              <w:rPr>
                <w:rFonts w:ascii="Times New Roman" w:eastAsia="Times New Roman" w:hAnsi="Times New Roman" w:cs="Times New Roman"/>
                <w:sz w:val="24"/>
                <w:szCs w:val="24"/>
                <w:lang w:eastAsia="pt-BR"/>
              </w:rPr>
            </w:pPr>
          </w:p>
        </w:tc>
        <w:tc>
          <w:tcPr>
            <w:tcW w:w="2693" w:type="dxa"/>
            <w:hideMark/>
          </w:tcPr>
          <w:p w14:paraId="0906B0DD" w14:textId="77777777" w:rsidR="00FD570E" w:rsidRPr="00FD570E" w:rsidRDefault="00FD570E" w:rsidP="00FD570E">
            <w:pPr>
              <w:numPr>
                <w:ilvl w:val="12"/>
                <w:numId w:val="0"/>
              </w:numPr>
              <w:spacing w:after="0" w:line="240" w:lineRule="auto"/>
              <w:rPr>
                <w:rFonts w:ascii="Times New Roman" w:eastAsia="Times New Roman" w:hAnsi="Times New Roman" w:cs="Times New Roman"/>
                <w:sz w:val="20"/>
                <w:szCs w:val="20"/>
                <w:lang w:eastAsia="pt-BR"/>
              </w:rPr>
            </w:pPr>
            <w:r w:rsidRPr="00FD570E">
              <w:rPr>
                <w:rFonts w:ascii="Times New Roman" w:eastAsia="Times New Roman" w:hAnsi="Times New Roman" w:cs="Times New Roman"/>
                <w:sz w:val="20"/>
                <w:szCs w:val="20"/>
                <w:lang w:eastAsia="pt-BR"/>
              </w:rPr>
              <w:t>Integridade/Manuseio</w:t>
            </w:r>
          </w:p>
        </w:tc>
        <w:tc>
          <w:tcPr>
            <w:tcW w:w="1134" w:type="dxa"/>
          </w:tcPr>
          <w:p w14:paraId="60BBCC40" w14:textId="77777777" w:rsidR="00FD570E" w:rsidRPr="00FD570E" w:rsidRDefault="00FD570E" w:rsidP="00FD570E">
            <w:pPr>
              <w:spacing w:after="0" w:line="240" w:lineRule="auto"/>
              <w:rPr>
                <w:rFonts w:ascii="Times New Roman" w:eastAsia="Times New Roman" w:hAnsi="Times New Roman" w:cs="Times New Roman"/>
                <w:szCs w:val="20"/>
                <w:lang w:eastAsia="pt-BR"/>
              </w:rPr>
            </w:pPr>
          </w:p>
        </w:tc>
        <w:tc>
          <w:tcPr>
            <w:tcW w:w="1134" w:type="dxa"/>
          </w:tcPr>
          <w:p w14:paraId="1F979569" w14:textId="77777777" w:rsidR="00FD570E" w:rsidRPr="00FD570E" w:rsidRDefault="00FD570E" w:rsidP="00FD570E">
            <w:pPr>
              <w:spacing w:after="0" w:line="240" w:lineRule="auto"/>
              <w:rPr>
                <w:rFonts w:ascii="Times New Roman" w:eastAsia="Times New Roman" w:hAnsi="Times New Roman" w:cs="Times New Roman"/>
                <w:szCs w:val="20"/>
                <w:lang w:eastAsia="pt-BR"/>
              </w:rPr>
            </w:pPr>
          </w:p>
        </w:tc>
        <w:tc>
          <w:tcPr>
            <w:tcW w:w="3544" w:type="dxa"/>
          </w:tcPr>
          <w:p w14:paraId="154B8EAD" w14:textId="77777777" w:rsidR="00FD570E" w:rsidRPr="00FD570E" w:rsidRDefault="00FD570E" w:rsidP="00FD570E">
            <w:pPr>
              <w:spacing w:after="0" w:line="240" w:lineRule="auto"/>
              <w:rPr>
                <w:rFonts w:ascii="Times New Roman" w:eastAsia="Times New Roman" w:hAnsi="Times New Roman" w:cs="Times New Roman"/>
                <w:szCs w:val="20"/>
                <w:lang w:eastAsia="pt-BR"/>
              </w:rPr>
            </w:pPr>
          </w:p>
        </w:tc>
      </w:tr>
      <w:tr w:rsidR="00FD570E" w:rsidRPr="00FD570E" w14:paraId="11AC8B74" w14:textId="77777777" w:rsidTr="00620A60">
        <w:tc>
          <w:tcPr>
            <w:tcW w:w="3970" w:type="dxa"/>
            <w:vMerge/>
            <w:vAlign w:val="center"/>
            <w:hideMark/>
          </w:tcPr>
          <w:p w14:paraId="2668BB8F" w14:textId="77777777" w:rsidR="00FD570E" w:rsidRPr="00FD570E" w:rsidRDefault="00FD570E" w:rsidP="00FD570E">
            <w:pPr>
              <w:spacing w:after="0" w:line="240" w:lineRule="auto"/>
              <w:rPr>
                <w:rFonts w:ascii="Times New Roman" w:eastAsia="Times New Roman" w:hAnsi="Times New Roman" w:cs="Times New Roman"/>
                <w:sz w:val="24"/>
                <w:szCs w:val="24"/>
                <w:lang w:eastAsia="pt-BR"/>
              </w:rPr>
            </w:pPr>
          </w:p>
        </w:tc>
        <w:tc>
          <w:tcPr>
            <w:tcW w:w="2693" w:type="dxa"/>
            <w:hideMark/>
          </w:tcPr>
          <w:p w14:paraId="1AF02170" w14:textId="77777777" w:rsidR="00FD570E" w:rsidRPr="00FD570E" w:rsidRDefault="00FD570E" w:rsidP="00FD570E">
            <w:pPr>
              <w:numPr>
                <w:ilvl w:val="12"/>
                <w:numId w:val="0"/>
              </w:numPr>
              <w:spacing w:after="0" w:line="240" w:lineRule="auto"/>
              <w:rPr>
                <w:rFonts w:ascii="Times New Roman" w:eastAsia="Times New Roman" w:hAnsi="Times New Roman" w:cs="Times New Roman"/>
                <w:sz w:val="20"/>
                <w:szCs w:val="20"/>
                <w:lang w:eastAsia="pt-BR"/>
              </w:rPr>
            </w:pPr>
            <w:r w:rsidRPr="00FD570E">
              <w:rPr>
                <w:rFonts w:ascii="Times New Roman" w:eastAsia="Times New Roman" w:hAnsi="Times New Roman" w:cs="Times New Roman"/>
                <w:sz w:val="20"/>
                <w:szCs w:val="20"/>
                <w:lang w:eastAsia="pt-BR"/>
              </w:rPr>
              <w:t>Abertura/Selagem</w:t>
            </w:r>
          </w:p>
        </w:tc>
        <w:tc>
          <w:tcPr>
            <w:tcW w:w="1134" w:type="dxa"/>
          </w:tcPr>
          <w:p w14:paraId="093F79EB" w14:textId="77777777" w:rsidR="00FD570E" w:rsidRPr="00FD570E" w:rsidRDefault="00FD570E" w:rsidP="00FD570E">
            <w:pPr>
              <w:spacing w:after="0" w:line="240" w:lineRule="auto"/>
              <w:rPr>
                <w:rFonts w:ascii="Times New Roman" w:eastAsia="Times New Roman" w:hAnsi="Times New Roman" w:cs="Times New Roman"/>
                <w:szCs w:val="20"/>
                <w:lang w:eastAsia="pt-BR"/>
              </w:rPr>
            </w:pPr>
          </w:p>
        </w:tc>
        <w:tc>
          <w:tcPr>
            <w:tcW w:w="1134" w:type="dxa"/>
          </w:tcPr>
          <w:p w14:paraId="6334D0A2" w14:textId="77777777" w:rsidR="00FD570E" w:rsidRPr="00FD570E" w:rsidRDefault="00FD570E" w:rsidP="00FD570E">
            <w:pPr>
              <w:spacing w:after="0" w:line="240" w:lineRule="auto"/>
              <w:rPr>
                <w:rFonts w:ascii="Times New Roman" w:eastAsia="Times New Roman" w:hAnsi="Times New Roman" w:cs="Times New Roman"/>
                <w:szCs w:val="20"/>
                <w:lang w:eastAsia="pt-BR"/>
              </w:rPr>
            </w:pPr>
          </w:p>
        </w:tc>
        <w:tc>
          <w:tcPr>
            <w:tcW w:w="3544" w:type="dxa"/>
          </w:tcPr>
          <w:p w14:paraId="7C34D3C1" w14:textId="77777777" w:rsidR="00FD570E" w:rsidRPr="00FD570E" w:rsidRDefault="00FD570E" w:rsidP="00FD570E">
            <w:pPr>
              <w:spacing w:after="0" w:line="240" w:lineRule="auto"/>
              <w:rPr>
                <w:rFonts w:ascii="Times New Roman" w:eastAsia="Times New Roman" w:hAnsi="Times New Roman" w:cs="Times New Roman"/>
                <w:szCs w:val="20"/>
                <w:lang w:eastAsia="pt-BR"/>
              </w:rPr>
            </w:pPr>
          </w:p>
        </w:tc>
      </w:tr>
      <w:tr w:rsidR="00FD570E" w:rsidRPr="00FD570E" w14:paraId="03AE108F" w14:textId="77777777" w:rsidTr="00620A60">
        <w:tc>
          <w:tcPr>
            <w:tcW w:w="3970" w:type="dxa"/>
            <w:gridSpan w:val="2"/>
            <w:vAlign w:val="center"/>
            <w:hideMark/>
          </w:tcPr>
          <w:p w14:paraId="236E89D4" w14:textId="77777777" w:rsidR="00FD570E" w:rsidRPr="00FD570E" w:rsidRDefault="00FD570E" w:rsidP="00FD570E">
            <w:pPr>
              <w:numPr>
                <w:ilvl w:val="12"/>
                <w:numId w:val="0"/>
              </w:numPr>
              <w:spacing w:after="0" w:line="240" w:lineRule="auto"/>
              <w:rPr>
                <w:rFonts w:ascii="Times New Roman" w:eastAsia="Times New Roman" w:hAnsi="Times New Roman" w:cs="Times New Roman"/>
                <w:sz w:val="20"/>
                <w:szCs w:val="20"/>
                <w:lang w:eastAsia="pt-BR"/>
              </w:rPr>
            </w:pPr>
            <w:r w:rsidRPr="00FD570E">
              <w:rPr>
                <w:rFonts w:ascii="Times New Roman" w:eastAsia="Times New Roman" w:hAnsi="Times New Roman" w:cs="Times New Roman"/>
                <w:sz w:val="20"/>
                <w:szCs w:val="20"/>
                <w:lang w:eastAsia="pt-BR"/>
              </w:rPr>
              <w:t>Materia prima</w:t>
            </w:r>
          </w:p>
        </w:tc>
        <w:tc>
          <w:tcPr>
            <w:tcW w:w="1134" w:type="dxa"/>
          </w:tcPr>
          <w:p w14:paraId="62AA55B1" w14:textId="77777777" w:rsidR="00FD570E" w:rsidRPr="00FD570E" w:rsidRDefault="00FD570E" w:rsidP="00FD570E">
            <w:pPr>
              <w:spacing w:after="0" w:line="240" w:lineRule="auto"/>
              <w:rPr>
                <w:rFonts w:ascii="Times New Roman" w:eastAsia="Times New Roman" w:hAnsi="Times New Roman" w:cs="Times New Roman"/>
                <w:szCs w:val="20"/>
                <w:lang w:eastAsia="pt-BR"/>
              </w:rPr>
            </w:pPr>
          </w:p>
        </w:tc>
        <w:tc>
          <w:tcPr>
            <w:tcW w:w="1134" w:type="dxa"/>
          </w:tcPr>
          <w:p w14:paraId="3BA652AC" w14:textId="77777777" w:rsidR="00FD570E" w:rsidRPr="00FD570E" w:rsidRDefault="00FD570E" w:rsidP="00FD570E">
            <w:pPr>
              <w:spacing w:after="0" w:line="240" w:lineRule="auto"/>
              <w:rPr>
                <w:rFonts w:ascii="Times New Roman" w:eastAsia="Times New Roman" w:hAnsi="Times New Roman" w:cs="Times New Roman"/>
                <w:szCs w:val="20"/>
                <w:lang w:eastAsia="pt-BR"/>
              </w:rPr>
            </w:pPr>
          </w:p>
        </w:tc>
        <w:tc>
          <w:tcPr>
            <w:tcW w:w="3544" w:type="dxa"/>
          </w:tcPr>
          <w:p w14:paraId="76BE757C" w14:textId="77777777" w:rsidR="00FD570E" w:rsidRPr="00FD570E" w:rsidRDefault="00FD570E" w:rsidP="00FD570E">
            <w:pPr>
              <w:spacing w:after="0" w:line="240" w:lineRule="auto"/>
              <w:rPr>
                <w:rFonts w:ascii="Times New Roman" w:eastAsia="Times New Roman" w:hAnsi="Times New Roman" w:cs="Times New Roman"/>
                <w:szCs w:val="20"/>
                <w:lang w:eastAsia="pt-BR"/>
              </w:rPr>
            </w:pPr>
          </w:p>
        </w:tc>
      </w:tr>
      <w:tr w:rsidR="00FD570E" w:rsidRPr="00FD570E" w14:paraId="05A288BD" w14:textId="77777777" w:rsidTr="00620A60">
        <w:tc>
          <w:tcPr>
            <w:tcW w:w="3970" w:type="dxa"/>
            <w:gridSpan w:val="2"/>
            <w:vAlign w:val="center"/>
            <w:hideMark/>
          </w:tcPr>
          <w:p w14:paraId="47BDF0D3" w14:textId="77777777" w:rsidR="00FD570E" w:rsidRPr="00FD570E" w:rsidRDefault="00FD570E" w:rsidP="00FD570E">
            <w:pPr>
              <w:numPr>
                <w:ilvl w:val="12"/>
                <w:numId w:val="0"/>
              </w:numPr>
              <w:spacing w:after="0" w:line="240" w:lineRule="auto"/>
              <w:rPr>
                <w:rFonts w:ascii="Times New Roman" w:eastAsia="Times New Roman" w:hAnsi="Times New Roman" w:cs="Times New Roman"/>
                <w:sz w:val="20"/>
                <w:szCs w:val="20"/>
                <w:lang w:eastAsia="pt-BR"/>
              </w:rPr>
            </w:pPr>
            <w:r w:rsidRPr="00FD570E">
              <w:rPr>
                <w:rFonts w:ascii="Times New Roman" w:eastAsia="Times New Roman" w:hAnsi="Times New Roman" w:cs="Times New Roman"/>
                <w:sz w:val="20"/>
                <w:szCs w:val="20"/>
                <w:lang w:eastAsia="pt-BR"/>
              </w:rPr>
              <w:t>Acabamento</w:t>
            </w:r>
          </w:p>
        </w:tc>
        <w:tc>
          <w:tcPr>
            <w:tcW w:w="1134" w:type="dxa"/>
          </w:tcPr>
          <w:p w14:paraId="5CCCB54D" w14:textId="77777777" w:rsidR="00FD570E" w:rsidRPr="00FD570E" w:rsidRDefault="00FD570E" w:rsidP="00FD570E">
            <w:pPr>
              <w:spacing w:after="0" w:line="240" w:lineRule="auto"/>
              <w:rPr>
                <w:rFonts w:ascii="Times New Roman" w:eastAsia="Times New Roman" w:hAnsi="Times New Roman" w:cs="Times New Roman"/>
                <w:szCs w:val="20"/>
                <w:lang w:eastAsia="pt-BR"/>
              </w:rPr>
            </w:pPr>
          </w:p>
        </w:tc>
        <w:tc>
          <w:tcPr>
            <w:tcW w:w="1134" w:type="dxa"/>
          </w:tcPr>
          <w:p w14:paraId="34544555" w14:textId="77777777" w:rsidR="00FD570E" w:rsidRPr="00FD570E" w:rsidRDefault="00FD570E" w:rsidP="00FD570E">
            <w:pPr>
              <w:spacing w:after="0" w:line="240" w:lineRule="auto"/>
              <w:rPr>
                <w:rFonts w:ascii="Times New Roman" w:eastAsia="Times New Roman" w:hAnsi="Times New Roman" w:cs="Times New Roman"/>
                <w:szCs w:val="20"/>
                <w:lang w:eastAsia="pt-BR"/>
              </w:rPr>
            </w:pPr>
          </w:p>
        </w:tc>
        <w:tc>
          <w:tcPr>
            <w:tcW w:w="3544" w:type="dxa"/>
          </w:tcPr>
          <w:p w14:paraId="1FF4991C" w14:textId="77777777" w:rsidR="00FD570E" w:rsidRPr="00FD570E" w:rsidRDefault="00FD570E" w:rsidP="00FD570E">
            <w:pPr>
              <w:spacing w:after="0" w:line="240" w:lineRule="auto"/>
              <w:rPr>
                <w:rFonts w:ascii="Times New Roman" w:eastAsia="Times New Roman" w:hAnsi="Times New Roman" w:cs="Times New Roman"/>
                <w:szCs w:val="20"/>
                <w:lang w:eastAsia="pt-BR"/>
              </w:rPr>
            </w:pPr>
          </w:p>
        </w:tc>
      </w:tr>
      <w:tr w:rsidR="00FD570E" w:rsidRPr="00FD570E" w14:paraId="14C68B19" w14:textId="77777777" w:rsidTr="00620A60">
        <w:tc>
          <w:tcPr>
            <w:tcW w:w="3970" w:type="dxa"/>
            <w:gridSpan w:val="2"/>
            <w:vAlign w:val="center"/>
            <w:hideMark/>
          </w:tcPr>
          <w:p w14:paraId="47646BAA" w14:textId="77777777" w:rsidR="00FD570E" w:rsidRPr="00FD570E" w:rsidRDefault="00FD570E" w:rsidP="00FD570E">
            <w:pPr>
              <w:numPr>
                <w:ilvl w:val="12"/>
                <w:numId w:val="0"/>
              </w:numPr>
              <w:spacing w:after="0" w:line="240" w:lineRule="auto"/>
              <w:rPr>
                <w:rFonts w:ascii="Times New Roman" w:eastAsia="Times New Roman" w:hAnsi="Times New Roman" w:cs="Times New Roman"/>
                <w:sz w:val="20"/>
                <w:szCs w:val="20"/>
                <w:lang w:eastAsia="pt-BR"/>
              </w:rPr>
            </w:pPr>
            <w:r w:rsidRPr="00FD570E">
              <w:rPr>
                <w:rFonts w:ascii="Times New Roman" w:eastAsia="Times New Roman" w:hAnsi="Times New Roman" w:cs="Times New Roman"/>
                <w:sz w:val="20"/>
                <w:szCs w:val="20"/>
                <w:lang w:eastAsia="pt-BR"/>
              </w:rPr>
              <w:t>Dimensão</w:t>
            </w:r>
          </w:p>
        </w:tc>
        <w:tc>
          <w:tcPr>
            <w:tcW w:w="1134" w:type="dxa"/>
          </w:tcPr>
          <w:p w14:paraId="72832AA7" w14:textId="77777777" w:rsidR="00FD570E" w:rsidRPr="00FD570E" w:rsidRDefault="00FD570E" w:rsidP="00FD570E">
            <w:pPr>
              <w:spacing w:after="0" w:line="240" w:lineRule="auto"/>
              <w:rPr>
                <w:rFonts w:ascii="Times New Roman" w:eastAsia="Times New Roman" w:hAnsi="Times New Roman" w:cs="Times New Roman"/>
                <w:szCs w:val="20"/>
                <w:lang w:eastAsia="pt-BR"/>
              </w:rPr>
            </w:pPr>
          </w:p>
        </w:tc>
        <w:tc>
          <w:tcPr>
            <w:tcW w:w="1134" w:type="dxa"/>
          </w:tcPr>
          <w:p w14:paraId="2D0836F7" w14:textId="77777777" w:rsidR="00FD570E" w:rsidRPr="00FD570E" w:rsidRDefault="00FD570E" w:rsidP="00FD570E">
            <w:pPr>
              <w:spacing w:after="0" w:line="240" w:lineRule="auto"/>
              <w:rPr>
                <w:rFonts w:ascii="Times New Roman" w:eastAsia="Times New Roman" w:hAnsi="Times New Roman" w:cs="Times New Roman"/>
                <w:szCs w:val="20"/>
                <w:lang w:eastAsia="pt-BR"/>
              </w:rPr>
            </w:pPr>
          </w:p>
        </w:tc>
        <w:tc>
          <w:tcPr>
            <w:tcW w:w="3544" w:type="dxa"/>
          </w:tcPr>
          <w:p w14:paraId="2F316398" w14:textId="77777777" w:rsidR="00FD570E" w:rsidRPr="00FD570E" w:rsidRDefault="00FD570E" w:rsidP="00FD570E">
            <w:pPr>
              <w:spacing w:after="0" w:line="240" w:lineRule="auto"/>
              <w:rPr>
                <w:rFonts w:ascii="Times New Roman" w:eastAsia="Times New Roman" w:hAnsi="Times New Roman" w:cs="Times New Roman"/>
                <w:szCs w:val="20"/>
                <w:lang w:eastAsia="pt-BR"/>
              </w:rPr>
            </w:pPr>
          </w:p>
        </w:tc>
      </w:tr>
      <w:tr w:rsidR="00FD570E" w:rsidRPr="00FD570E" w14:paraId="2CFB67F3" w14:textId="77777777" w:rsidTr="00620A60">
        <w:tc>
          <w:tcPr>
            <w:tcW w:w="3970" w:type="dxa"/>
            <w:gridSpan w:val="2"/>
            <w:hideMark/>
          </w:tcPr>
          <w:p w14:paraId="1FD2FF7F" w14:textId="77777777" w:rsidR="00FD570E" w:rsidRPr="00FD570E" w:rsidRDefault="00FD570E" w:rsidP="00FD570E">
            <w:pPr>
              <w:numPr>
                <w:ilvl w:val="12"/>
                <w:numId w:val="0"/>
              </w:numPr>
              <w:spacing w:after="0" w:line="240" w:lineRule="auto"/>
              <w:rPr>
                <w:rFonts w:ascii="Times New Roman" w:eastAsia="Times New Roman" w:hAnsi="Times New Roman" w:cs="Times New Roman"/>
                <w:sz w:val="20"/>
                <w:szCs w:val="20"/>
                <w:lang w:eastAsia="pt-BR"/>
              </w:rPr>
            </w:pPr>
            <w:r w:rsidRPr="00FD570E">
              <w:rPr>
                <w:rFonts w:ascii="Times New Roman" w:eastAsia="Times New Roman" w:hAnsi="Times New Roman" w:cs="Times New Roman"/>
                <w:sz w:val="20"/>
                <w:szCs w:val="20"/>
                <w:lang w:eastAsia="pt-BR"/>
              </w:rPr>
              <w:t>Maleabilidade/Resistência</w:t>
            </w:r>
          </w:p>
        </w:tc>
        <w:tc>
          <w:tcPr>
            <w:tcW w:w="1134" w:type="dxa"/>
          </w:tcPr>
          <w:p w14:paraId="7CA07490" w14:textId="77777777" w:rsidR="00FD570E" w:rsidRPr="00FD570E" w:rsidRDefault="00FD570E" w:rsidP="00FD570E">
            <w:pPr>
              <w:spacing w:after="0" w:line="240" w:lineRule="auto"/>
              <w:rPr>
                <w:rFonts w:ascii="Times New Roman" w:eastAsia="Times New Roman" w:hAnsi="Times New Roman" w:cs="Times New Roman"/>
                <w:szCs w:val="20"/>
                <w:lang w:eastAsia="pt-BR"/>
              </w:rPr>
            </w:pPr>
          </w:p>
        </w:tc>
        <w:tc>
          <w:tcPr>
            <w:tcW w:w="1134" w:type="dxa"/>
          </w:tcPr>
          <w:p w14:paraId="32A4B8D1" w14:textId="77777777" w:rsidR="00FD570E" w:rsidRPr="00FD570E" w:rsidRDefault="00FD570E" w:rsidP="00FD570E">
            <w:pPr>
              <w:spacing w:after="0" w:line="240" w:lineRule="auto"/>
              <w:rPr>
                <w:rFonts w:ascii="Times New Roman" w:eastAsia="Times New Roman" w:hAnsi="Times New Roman" w:cs="Times New Roman"/>
                <w:szCs w:val="20"/>
                <w:lang w:eastAsia="pt-BR"/>
              </w:rPr>
            </w:pPr>
          </w:p>
        </w:tc>
        <w:tc>
          <w:tcPr>
            <w:tcW w:w="3544" w:type="dxa"/>
          </w:tcPr>
          <w:p w14:paraId="7452F12E" w14:textId="77777777" w:rsidR="00FD570E" w:rsidRPr="00FD570E" w:rsidRDefault="00FD570E" w:rsidP="00FD570E">
            <w:pPr>
              <w:spacing w:after="0" w:line="240" w:lineRule="auto"/>
              <w:rPr>
                <w:rFonts w:ascii="Times New Roman" w:eastAsia="Times New Roman" w:hAnsi="Times New Roman" w:cs="Times New Roman"/>
                <w:szCs w:val="20"/>
                <w:lang w:eastAsia="pt-BR"/>
              </w:rPr>
            </w:pPr>
          </w:p>
        </w:tc>
      </w:tr>
      <w:tr w:rsidR="00FD570E" w:rsidRPr="00FD570E" w14:paraId="70F92ED1" w14:textId="77777777" w:rsidTr="00620A60">
        <w:tc>
          <w:tcPr>
            <w:tcW w:w="3970" w:type="dxa"/>
            <w:gridSpan w:val="2"/>
            <w:vAlign w:val="center"/>
            <w:hideMark/>
          </w:tcPr>
          <w:p w14:paraId="43CFA108" w14:textId="77777777" w:rsidR="00FD570E" w:rsidRPr="00FD570E" w:rsidRDefault="00FD570E" w:rsidP="00FD570E">
            <w:pPr>
              <w:numPr>
                <w:ilvl w:val="12"/>
                <w:numId w:val="0"/>
              </w:numPr>
              <w:spacing w:after="0" w:line="240" w:lineRule="auto"/>
              <w:rPr>
                <w:rFonts w:ascii="Times New Roman" w:eastAsia="Times New Roman" w:hAnsi="Times New Roman" w:cs="Times New Roman"/>
                <w:sz w:val="20"/>
                <w:szCs w:val="20"/>
                <w:lang w:eastAsia="pt-BR"/>
              </w:rPr>
            </w:pPr>
            <w:r w:rsidRPr="00FD570E">
              <w:rPr>
                <w:rFonts w:ascii="Times New Roman" w:eastAsia="Times New Roman" w:hAnsi="Times New Roman" w:cs="Times New Roman"/>
                <w:sz w:val="20"/>
                <w:szCs w:val="20"/>
                <w:lang w:eastAsia="pt-BR"/>
              </w:rPr>
              <w:t>Área de reforço</w:t>
            </w:r>
          </w:p>
        </w:tc>
        <w:tc>
          <w:tcPr>
            <w:tcW w:w="1134" w:type="dxa"/>
          </w:tcPr>
          <w:p w14:paraId="0F617BE3" w14:textId="77777777" w:rsidR="00FD570E" w:rsidRPr="00FD570E" w:rsidRDefault="00FD570E" w:rsidP="00FD570E">
            <w:pPr>
              <w:spacing w:after="0" w:line="240" w:lineRule="auto"/>
              <w:rPr>
                <w:rFonts w:ascii="Times New Roman" w:eastAsia="Times New Roman" w:hAnsi="Times New Roman" w:cs="Times New Roman"/>
                <w:szCs w:val="20"/>
                <w:lang w:eastAsia="pt-BR"/>
              </w:rPr>
            </w:pPr>
          </w:p>
        </w:tc>
        <w:tc>
          <w:tcPr>
            <w:tcW w:w="1134" w:type="dxa"/>
          </w:tcPr>
          <w:p w14:paraId="29DA6DFC" w14:textId="77777777" w:rsidR="00FD570E" w:rsidRPr="00FD570E" w:rsidRDefault="00FD570E" w:rsidP="00FD570E">
            <w:pPr>
              <w:spacing w:after="0" w:line="240" w:lineRule="auto"/>
              <w:rPr>
                <w:rFonts w:ascii="Times New Roman" w:eastAsia="Times New Roman" w:hAnsi="Times New Roman" w:cs="Times New Roman"/>
                <w:szCs w:val="20"/>
                <w:lang w:eastAsia="pt-BR"/>
              </w:rPr>
            </w:pPr>
          </w:p>
        </w:tc>
        <w:tc>
          <w:tcPr>
            <w:tcW w:w="3544" w:type="dxa"/>
          </w:tcPr>
          <w:p w14:paraId="3BBA3111" w14:textId="77777777" w:rsidR="00FD570E" w:rsidRPr="00FD570E" w:rsidRDefault="00FD570E" w:rsidP="00FD570E">
            <w:pPr>
              <w:spacing w:after="0" w:line="240" w:lineRule="auto"/>
              <w:rPr>
                <w:rFonts w:ascii="Times New Roman" w:eastAsia="Times New Roman" w:hAnsi="Times New Roman" w:cs="Times New Roman"/>
                <w:szCs w:val="20"/>
                <w:lang w:eastAsia="pt-BR"/>
              </w:rPr>
            </w:pPr>
          </w:p>
        </w:tc>
      </w:tr>
      <w:tr w:rsidR="00FD570E" w:rsidRPr="00FD570E" w14:paraId="56791D5A" w14:textId="77777777" w:rsidTr="00620A60">
        <w:tc>
          <w:tcPr>
            <w:tcW w:w="3970" w:type="dxa"/>
            <w:gridSpan w:val="2"/>
            <w:hideMark/>
          </w:tcPr>
          <w:p w14:paraId="2285F95F" w14:textId="77777777" w:rsidR="00FD570E" w:rsidRPr="00FD570E" w:rsidRDefault="00FD570E" w:rsidP="00FD570E">
            <w:pPr>
              <w:numPr>
                <w:ilvl w:val="12"/>
                <w:numId w:val="0"/>
              </w:numPr>
              <w:spacing w:after="0" w:line="240" w:lineRule="auto"/>
              <w:rPr>
                <w:rFonts w:ascii="Times New Roman" w:eastAsia="Times New Roman" w:hAnsi="Times New Roman" w:cs="Times New Roman"/>
                <w:sz w:val="20"/>
                <w:szCs w:val="20"/>
                <w:lang w:eastAsia="pt-BR"/>
              </w:rPr>
            </w:pPr>
            <w:r w:rsidRPr="00FD570E">
              <w:rPr>
                <w:rFonts w:ascii="Times New Roman" w:eastAsia="Times New Roman" w:hAnsi="Times New Roman" w:cs="Times New Roman"/>
                <w:sz w:val="20"/>
                <w:szCs w:val="20"/>
                <w:lang w:eastAsia="pt-BR"/>
              </w:rPr>
              <w:t>Junção  termoselada/ultrasônica</w:t>
            </w:r>
          </w:p>
        </w:tc>
        <w:tc>
          <w:tcPr>
            <w:tcW w:w="1134" w:type="dxa"/>
          </w:tcPr>
          <w:p w14:paraId="08BC654A" w14:textId="77777777" w:rsidR="00FD570E" w:rsidRPr="00FD570E" w:rsidRDefault="00FD570E" w:rsidP="00FD570E">
            <w:pPr>
              <w:spacing w:after="0" w:line="240" w:lineRule="auto"/>
              <w:rPr>
                <w:rFonts w:ascii="Times New Roman" w:eastAsia="Times New Roman" w:hAnsi="Times New Roman" w:cs="Times New Roman"/>
                <w:szCs w:val="20"/>
                <w:lang w:eastAsia="pt-BR"/>
              </w:rPr>
            </w:pPr>
          </w:p>
        </w:tc>
        <w:tc>
          <w:tcPr>
            <w:tcW w:w="1134" w:type="dxa"/>
          </w:tcPr>
          <w:p w14:paraId="3E868F11" w14:textId="77777777" w:rsidR="00FD570E" w:rsidRPr="00FD570E" w:rsidRDefault="00FD570E" w:rsidP="00FD570E">
            <w:pPr>
              <w:spacing w:after="0" w:line="240" w:lineRule="auto"/>
              <w:rPr>
                <w:rFonts w:ascii="Times New Roman" w:eastAsia="Times New Roman" w:hAnsi="Times New Roman" w:cs="Times New Roman"/>
                <w:szCs w:val="20"/>
                <w:lang w:eastAsia="pt-BR"/>
              </w:rPr>
            </w:pPr>
          </w:p>
        </w:tc>
        <w:tc>
          <w:tcPr>
            <w:tcW w:w="3544" w:type="dxa"/>
          </w:tcPr>
          <w:p w14:paraId="4B2B4815" w14:textId="77777777" w:rsidR="00FD570E" w:rsidRPr="00FD570E" w:rsidRDefault="00FD570E" w:rsidP="00FD570E">
            <w:pPr>
              <w:spacing w:after="0" w:line="240" w:lineRule="auto"/>
              <w:rPr>
                <w:rFonts w:ascii="Times New Roman" w:eastAsia="Times New Roman" w:hAnsi="Times New Roman" w:cs="Times New Roman"/>
                <w:szCs w:val="20"/>
                <w:lang w:eastAsia="pt-BR"/>
              </w:rPr>
            </w:pPr>
          </w:p>
        </w:tc>
      </w:tr>
      <w:tr w:rsidR="00FD570E" w:rsidRPr="00FD570E" w14:paraId="5EB12A82" w14:textId="77777777" w:rsidTr="00620A60">
        <w:tc>
          <w:tcPr>
            <w:tcW w:w="3970" w:type="dxa"/>
            <w:gridSpan w:val="2"/>
            <w:hideMark/>
          </w:tcPr>
          <w:p w14:paraId="7F67E9B9" w14:textId="77777777" w:rsidR="00FD570E" w:rsidRPr="00FD570E" w:rsidRDefault="00FD570E" w:rsidP="00FD570E">
            <w:pPr>
              <w:numPr>
                <w:ilvl w:val="12"/>
                <w:numId w:val="0"/>
              </w:numPr>
              <w:spacing w:after="0" w:line="240" w:lineRule="auto"/>
              <w:rPr>
                <w:rFonts w:ascii="Times New Roman" w:eastAsia="Times New Roman" w:hAnsi="Times New Roman" w:cs="Times New Roman"/>
                <w:sz w:val="20"/>
                <w:szCs w:val="20"/>
                <w:lang w:eastAsia="pt-BR"/>
              </w:rPr>
            </w:pPr>
            <w:r w:rsidRPr="00FD570E">
              <w:rPr>
                <w:rFonts w:ascii="Times New Roman" w:eastAsia="Times New Roman" w:hAnsi="Times New Roman" w:cs="Times New Roman"/>
                <w:sz w:val="20"/>
                <w:szCs w:val="20"/>
                <w:lang w:eastAsia="pt-BR"/>
              </w:rPr>
              <w:t>Fechamento  posterior/ Transpasse</w:t>
            </w:r>
          </w:p>
        </w:tc>
        <w:tc>
          <w:tcPr>
            <w:tcW w:w="1134" w:type="dxa"/>
          </w:tcPr>
          <w:p w14:paraId="507E4ADA" w14:textId="77777777" w:rsidR="00FD570E" w:rsidRPr="00FD570E" w:rsidRDefault="00FD570E" w:rsidP="00FD570E">
            <w:pPr>
              <w:spacing w:after="0" w:line="240" w:lineRule="auto"/>
              <w:rPr>
                <w:rFonts w:ascii="Times New Roman" w:eastAsia="Times New Roman" w:hAnsi="Times New Roman" w:cs="Times New Roman"/>
                <w:szCs w:val="20"/>
                <w:lang w:eastAsia="pt-BR"/>
              </w:rPr>
            </w:pPr>
          </w:p>
        </w:tc>
        <w:tc>
          <w:tcPr>
            <w:tcW w:w="1134" w:type="dxa"/>
          </w:tcPr>
          <w:p w14:paraId="180A75B9" w14:textId="77777777" w:rsidR="00FD570E" w:rsidRPr="00FD570E" w:rsidRDefault="00FD570E" w:rsidP="00FD570E">
            <w:pPr>
              <w:spacing w:after="0" w:line="240" w:lineRule="auto"/>
              <w:rPr>
                <w:rFonts w:ascii="Times New Roman" w:eastAsia="Times New Roman" w:hAnsi="Times New Roman" w:cs="Times New Roman"/>
                <w:szCs w:val="20"/>
                <w:lang w:eastAsia="pt-BR"/>
              </w:rPr>
            </w:pPr>
          </w:p>
        </w:tc>
        <w:tc>
          <w:tcPr>
            <w:tcW w:w="3544" w:type="dxa"/>
          </w:tcPr>
          <w:p w14:paraId="6452FC97" w14:textId="77777777" w:rsidR="00FD570E" w:rsidRPr="00FD570E" w:rsidRDefault="00FD570E" w:rsidP="00FD570E">
            <w:pPr>
              <w:spacing w:after="0" w:line="240" w:lineRule="auto"/>
              <w:rPr>
                <w:rFonts w:ascii="Times New Roman" w:eastAsia="Times New Roman" w:hAnsi="Times New Roman" w:cs="Times New Roman"/>
                <w:szCs w:val="20"/>
                <w:lang w:eastAsia="pt-BR"/>
              </w:rPr>
            </w:pPr>
          </w:p>
        </w:tc>
      </w:tr>
      <w:tr w:rsidR="00FD570E" w:rsidRPr="00FD570E" w14:paraId="7616CD12" w14:textId="77777777" w:rsidTr="00620A60">
        <w:tc>
          <w:tcPr>
            <w:tcW w:w="3970" w:type="dxa"/>
            <w:gridSpan w:val="2"/>
            <w:hideMark/>
          </w:tcPr>
          <w:p w14:paraId="4DB8AE85" w14:textId="77777777" w:rsidR="00FD570E" w:rsidRPr="00FD570E" w:rsidRDefault="00FD570E" w:rsidP="00FD570E">
            <w:pPr>
              <w:numPr>
                <w:ilvl w:val="12"/>
                <w:numId w:val="0"/>
              </w:numPr>
              <w:spacing w:after="0" w:line="240" w:lineRule="auto"/>
              <w:rPr>
                <w:rFonts w:ascii="Times New Roman" w:eastAsia="Times New Roman" w:hAnsi="Times New Roman" w:cs="Times New Roman"/>
                <w:sz w:val="20"/>
                <w:szCs w:val="20"/>
                <w:lang w:eastAsia="pt-BR"/>
              </w:rPr>
            </w:pPr>
            <w:r w:rsidRPr="00FD570E">
              <w:rPr>
                <w:rFonts w:ascii="Times New Roman" w:eastAsia="Times New Roman" w:hAnsi="Times New Roman" w:cs="Times New Roman"/>
                <w:sz w:val="20"/>
                <w:szCs w:val="20"/>
                <w:lang w:eastAsia="pt-BR"/>
              </w:rPr>
              <w:t>Decote/ Fechamento</w:t>
            </w:r>
          </w:p>
        </w:tc>
        <w:tc>
          <w:tcPr>
            <w:tcW w:w="1134" w:type="dxa"/>
          </w:tcPr>
          <w:p w14:paraId="410BF05E" w14:textId="77777777" w:rsidR="00FD570E" w:rsidRPr="00FD570E" w:rsidRDefault="00FD570E" w:rsidP="00FD570E">
            <w:pPr>
              <w:spacing w:after="0" w:line="240" w:lineRule="auto"/>
              <w:rPr>
                <w:rFonts w:ascii="Times New Roman" w:eastAsia="Times New Roman" w:hAnsi="Times New Roman" w:cs="Times New Roman"/>
                <w:szCs w:val="20"/>
                <w:lang w:eastAsia="pt-BR"/>
              </w:rPr>
            </w:pPr>
          </w:p>
        </w:tc>
        <w:tc>
          <w:tcPr>
            <w:tcW w:w="1134" w:type="dxa"/>
          </w:tcPr>
          <w:p w14:paraId="02112E01" w14:textId="77777777" w:rsidR="00FD570E" w:rsidRPr="00FD570E" w:rsidRDefault="00FD570E" w:rsidP="00FD570E">
            <w:pPr>
              <w:spacing w:after="0" w:line="240" w:lineRule="auto"/>
              <w:rPr>
                <w:rFonts w:ascii="Times New Roman" w:eastAsia="Times New Roman" w:hAnsi="Times New Roman" w:cs="Times New Roman"/>
                <w:szCs w:val="20"/>
                <w:lang w:eastAsia="pt-BR"/>
              </w:rPr>
            </w:pPr>
          </w:p>
        </w:tc>
        <w:tc>
          <w:tcPr>
            <w:tcW w:w="3544" w:type="dxa"/>
          </w:tcPr>
          <w:p w14:paraId="681E8665" w14:textId="77777777" w:rsidR="00FD570E" w:rsidRPr="00FD570E" w:rsidRDefault="00FD570E" w:rsidP="00FD570E">
            <w:pPr>
              <w:spacing w:after="0" w:line="240" w:lineRule="auto"/>
              <w:rPr>
                <w:rFonts w:ascii="Times New Roman" w:eastAsia="Times New Roman" w:hAnsi="Times New Roman" w:cs="Times New Roman"/>
                <w:szCs w:val="20"/>
                <w:lang w:eastAsia="pt-BR"/>
              </w:rPr>
            </w:pPr>
          </w:p>
        </w:tc>
      </w:tr>
      <w:tr w:rsidR="00FD570E" w:rsidRPr="00FD570E" w14:paraId="1FA5178B" w14:textId="77777777" w:rsidTr="00620A60">
        <w:tc>
          <w:tcPr>
            <w:tcW w:w="3970" w:type="dxa"/>
            <w:gridSpan w:val="2"/>
            <w:hideMark/>
          </w:tcPr>
          <w:p w14:paraId="63C63076" w14:textId="77777777" w:rsidR="00FD570E" w:rsidRPr="00FD570E" w:rsidRDefault="00FD570E" w:rsidP="00FD570E">
            <w:pPr>
              <w:spacing w:after="0" w:line="240" w:lineRule="auto"/>
              <w:rPr>
                <w:rFonts w:ascii="Times New Roman" w:eastAsia="Times New Roman" w:hAnsi="Times New Roman" w:cs="Times New Roman"/>
                <w:sz w:val="20"/>
                <w:szCs w:val="20"/>
                <w:lang w:eastAsia="pt-BR"/>
              </w:rPr>
            </w:pPr>
            <w:r w:rsidRPr="00FD570E">
              <w:rPr>
                <w:rFonts w:ascii="Times New Roman" w:eastAsia="Times New Roman" w:hAnsi="Times New Roman" w:cs="Times New Roman"/>
                <w:sz w:val="20"/>
                <w:szCs w:val="20"/>
                <w:lang w:eastAsia="pt-BR"/>
              </w:rPr>
              <w:t xml:space="preserve">Cintura/Amarrilhos </w:t>
            </w:r>
          </w:p>
        </w:tc>
        <w:tc>
          <w:tcPr>
            <w:tcW w:w="1134" w:type="dxa"/>
          </w:tcPr>
          <w:p w14:paraId="453E01B3" w14:textId="77777777" w:rsidR="00FD570E" w:rsidRPr="00FD570E" w:rsidRDefault="00FD570E" w:rsidP="00FD570E">
            <w:pPr>
              <w:spacing w:after="0" w:line="240" w:lineRule="auto"/>
              <w:rPr>
                <w:rFonts w:ascii="Times New Roman" w:eastAsia="Times New Roman" w:hAnsi="Times New Roman" w:cs="Times New Roman"/>
                <w:szCs w:val="20"/>
                <w:lang w:eastAsia="pt-BR"/>
              </w:rPr>
            </w:pPr>
          </w:p>
        </w:tc>
        <w:tc>
          <w:tcPr>
            <w:tcW w:w="1134" w:type="dxa"/>
          </w:tcPr>
          <w:p w14:paraId="76D3F9E7" w14:textId="77777777" w:rsidR="00FD570E" w:rsidRPr="00FD570E" w:rsidRDefault="00FD570E" w:rsidP="00FD570E">
            <w:pPr>
              <w:spacing w:after="0" w:line="240" w:lineRule="auto"/>
              <w:rPr>
                <w:rFonts w:ascii="Times New Roman" w:eastAsia="Times New Roman" w:hAnsi="Times New Roman" w:cs="Times New Roman"/>
                <w:szCs w:val="20"/>
                <w:lang w:eastAsia="pt-BR"/>
              </w:rPr>
            </w:pPr>
          </w:p>
        </w:tc>
        <w:tc>
          <w:tcPr>
            <w:tcW w:w="3544" w:type="dxa"/>
          </w:tcPr>
          <w:p w14:paraId="3D2716DE" w14:textId="77777777" w:rsidR="00FD570E" w:rsidRPr="00FD570E" w:rsidRDefault="00FD570E" w:rsidP="00FD570E">
            <w:pPr>
              <w:spacing w:after="0" w:line="240" w:lineRule="auto"/>
              <w:rPr>
                <w:rFonts w:ascii="Times New Roman" w:eastAsia="Times New Roman" w:hAnsi="Times New Roman" w:cs="Times New Roman"/>
                <w:szCs w:val="20"/>
                <w:lang w:eastAsia="pt-BR"/>
              </w:rPr>
            </w:pPr>
          </w:p>
        </w:tc>
      </w:tr>
      <w:tr w:rsidR="00FD570E" w:rsidRPr="00FD570E" w14:paraId="59BBE0FA" w14:textId="77777777" w:rsidTr="00620A60">
        <w:tc>
          <w:tcPr>
            <w:tcW w:w="3970" w:type="dxa"/>
            <w:gridSpan w:val="2"/>
            <w:hideMark/>
          </w:tcPr>
          <w:p w14:paraId="1B85019F" w14:textId="77777777" w:rsidR="00FD570E" w:rsidRPr="00FD570E" w:rsidRDefault="00FD570E" w:rsidP="00FD570E">
            <w:pPr>
              <w:numPr>
                <w:ilvl w:val="12"/>
                <w:numId w:val="0"/>
              </w:numPr>
              <w:spacing w:after="0" w:line="240" w:lineRule="auto"/>
              <w:rPr>
                <w:rFonts w:ascii="Times New Roman" w:eastAsia="Times New Roman" w:hAnsi="Times New Roman" w:cs="Times New Roman"/>
                <w:sz w:val="20"/>
                <w:szCs w:val="20"/>
                <w:lang w:eastAsia="pt-BR"/>
              </w:rPr>
            </w:pPr>
            <w:r w:rsidRPr="00FD570E">
              <w:rPr>
                <w:rFonts w:ascii="Times New Roman" w:eastAsia="Times New Roman" w:hAnsi="Times New Roman" w:cs="Times New Roman"/>
                <w:sz w:val="20"/>
                <w:szCs w:val="20"/>
                <w:lang w:eastAsia="pt-BR"/>
              </w:rPr>
              <w:t>Manga/Punho</w:t>
            </w:r>
          </w:p>
        </w:tc>
        <w:tc>
          <w:tcPr>
            <w:tcW w:w="1134" w:type="dxa"/>
          </w:tcPr>
          <w:p w14:paraId="589BE73C" w14:textId="77777777" w:rsidR="00FD570E" w:rsidRPr="00FD570E" w:rsidRDefault="00FD570E" w:rsidP="00FD570E">
            <w:pPr>
              <w:spacing w:after="0" w:line="240" w:lineRule="auto"/>
              <w:rPr>
                <w:rFonts w:ascii="Times New Roman" w:eastAsia="Times New Roman" w:hAnsi="Times New Roman" w:cs="Times New Roman"/>
                <w:szCs w:val="20"/>
                <w:lang w:eastAsia="pt-BR"/>
              </w:rPr>
            </w:pPr>
          </w:p>
        </w:tc>
        <w:tc>
          <w:tcPr>
            <w:tcW w:w="1134" w:type="dxa"/>
          </w:tcPr>
          <w:p w14:paraId="7002C4A8" w14:textId="77777777" w:rsidR="00FD570E" w:rsidRPr="00FD570E" w:rsidRDefault="00FD570E" w:rsidP="00FD570E">
            <w:pPr>
              <w:spacing w:after="0" w:line="240" w:lineRule="auto"/>
              <w:rPr>
                <w:rFonts w:ascii="Times New Roman" w:eastAsia="Times New Roman" w:hAnsi="Times New Roman" w:cs="Times New Roman"/>
                <w:szCs w:val="20"/>
                <w:lang w:eastAsia="pt-BR"/>
              </w:rPr>
            </w:pPr>
          </w:p>
        </w:tc>
        <w:tc>
          <w:tcPr>
            <w:tcW w:w="3544" w:type="dxa"/>
          </w:tcPr>
          <w:p w14:paraId="353F5565" w14:textId="77777777" w:rsidR="00FD570E" w:rsidRPr="00FD570E" w:rsidRDefault="00FD570E" w:rsidP="00FD570E">
            <w:pPr>
              <w:spacing w:after="0" w:line="240" w:lineRule="auto"/>
              <w:rPr>
                <w:rFonts w:ascii="Times New Roman" w:eastAsia="Times New Roman" w:hAnsi="Times New Roman" w:cs="Times New Roman"/>
                <w:szCs w:val="20"/>
                <w:lang w:eastAsia="pt-BR"/>
              </w:rPr>
            </w:pPr>
          </w:p>
        </w:tc>
      </w:tr>
      <w:tr w:rsidR="00FD570E" w:rsidRPr="00FD570E" w14:paraId="03C7F19C" w14:textId="77777777" w:rsidTr="00620A60">
        <w:tc>
          <w:tcPr>
            <w:tcW w:w="3970" w:type="dxa"/>
            <w:gridSpan w:val="2"/>
            <w:hideMark/>
          </w:tcPr>
          <w:p w14:paraId="17B2B622" w14:textId="77777777" w:rsidR="00FD570E" w:rsidRPr="00FD570E" w:rsidRDefault="00FD570E" w:rsidP="00FD570E">
            <w:pPr>
              <w:numPr>
                <w:ilvl w:val="12"/>
                <w:numId w:val="0"/>
              </w:numPr>
              <w:spacing w:after="0" w:line="240" w:lineRule="auto"/>
              <w:rPr>
                <w:rFonts w:ascii="Times New Roman" w:eastAsia="Times New Roman" w:hAnsi="Times New Roman" w:cs="Times New Roman"/>
                <w:sz w:val="20"/>
                <w:szCs w:val="20"/>
                <w:lang w:eastAsia="pt-BR"/>
              </w:rPr>
            </w:pPr>
            <w:r w:rsidRPr="00FD570E">
              <w:rPr>
                <w:rFonts w:ascii="Times New Roman" w:eastAsia="Times New Roman" w:hAnsi="Times New Roman" w:cs="Times New Roman"/>
                <w:sz w:val="20"/>
                <w:szCs w:val="20"/>
                <w:lang w:eastAsia="pt-BR"/>
              </w:rPr>
              <w:t>gramatura</w:t>
            </w:r>
          </w:p>
        </w:tc>
        <w:tc>
          <w:tcPr>
            <w:tcW w:w="1134" w:type="dxa"/>
          </w:tcPr>
          <w:p w14:paraId="3E01EBA0" w14:textId="77777777" w:rsidR="00FD570E" w:rsidRPr="00FD570E" w:rsidRDefault="00FD570E" w:rsidP="00FD570E">
            <w:pPr>
              <w:spacing w:after="0" w:line="240" w:lineRule="auto"/>
              <w:rPr>
                <w:rFonts w:ascii="Times New Roman" w:eastAsia="Times New Roman" w:hAnsi="Times New Roman" w:cs="Times New Roman"/>
                <w:szCs w:val="20"/>
                <w:lang w:eastAsia="pt-BR"/>
              </w:rPr>
            </w:pPr>
          </w:p>
        </w:tc>
        <w:tc>
          <w:tcPr>
            <w:tcW w:w="1134" w:type="dxa"/>
          </w:tcPr>
          <w:p w14:paraId="6AB93895" w14:textId="77777777" w:rsidR="00FD570E" w:rsidRPr="00FD570E" w:rsidRDefault="00FD570E" w:rsidP="00FD570E">
            <w:pPr>
              <w:spacing w:after="0" w:line="240" w:lineRule="auto"/>
              <w:rPr>
                <w:rFonts w:ascii="Times New Roman" w:eastAsia="Times New Roman" w:hAnsi="Times New Roman" w:cs="Times New Roman"/>
                <w:szCs w:val="20"/>
                <w:lang w:eastAsia="pt-BR"/>
              </w:rPr>
            </w:pPr>
          </w:p>
        </w:tc>
        <w:tc>
          <w:tcPr>
            <w:tcW w:w="3544" w:type="dxa"/>
          </w:tcPr>
          <w:p w14:paraId="5EBC95B4" w14:textId="77777777" w:rsidR="00FD570E" w:rsidRPr="00FD570E" w:rsidRDefault="00FD570E" w:rsidP="00FD570E">
            <w:pPr>
              <w:spacing w:after="0" w:line="240" w:lineRule="auto"/>
              <w:rPr>
                <w:rFonts w:ascii="Times New Roman" w:eastAsia="Times New Roman" w:hAnsi="Times New Roman" w:cs="Times New Roman"/>
                <w:szCs w:val="20"/>
                <w:lang w:eastAsia="pt-BR"/>
              </w:rPr>
            </w:pPr>
          </w:p>
        </w:tc>
      </w:tr>
    </w:tbl>
    <w:p w14:paraId="288CB1A2" w14:textId="77777777" w:rsidR="00FD570E" w:rsidRPr="00FD570E" w:rsidRDefault="00FD570E" w:rsidP="00FD570E">
      <w:pPr>
        <w:spacing w:after="0" w:line="240" w:lineRule="auto"/>
        <w:rPr>
          <w:rFonts w:ascii="Times New Roman" w:eastAsia="Times New Roman" w:hAnsi="Times New Roman" w:cs="Times New Roman"/>
          <w:vanish/>
          <w:sz w:val="20"/>
          <w:szCs w:val="20"/>
          <w:lang w:eastAsia="pt-BR"/>
        </w:rPr>
      </w:pPr>
    </w:p>
    <w:tbl>
      <w:tblPr>
        <w:tblpPr w:leftFromText="141" w:rightFromText="141" w:vertAnchor="text" w:horzAnchor="margin" w:tblpX="-356" w:tblpY="322"/>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9782"/>
      </w:tblGrid>
      <w:tr w:rsidR="00FD570E" w:rsidRPr="00FD570E" w14:paraId="3D1521A8" w14:textId="77777777" w:rsidTr="00620A60">
        <w:trPr>
          <w:trHeight w:val="561"/>
        </w:trPr>
        <w:tc>
          <w:tcPr>
            <w:tcW w:w="9782" w:type="dxa"/>
            <w:hideMark/>
          </w:tcPr>
          <w:p w14:paraId="38876407" w14:textId="77777777" w:rsidR="00FD570E" w:rsidRPr="00FD570E" w:rsidRDefault="00FD570E" w:rsidP="00FD570E">
            <w:pPr>
              <w:spacing w:after="120" w:line="240" w:lineRule="auto"/>
              <w:rPr>
                <w:rFonts w:ascii="Times New Roman" w:eastAsia="Times New Roman" w:hAnsi="Times New Roman" w:cs="Times New Roman"/>
                <w:lang w:eastAsia="pt-BR"/>
              </w:rPr>
            </w:pPr>
            <w:r w:rsidRPr="00FD570E">
              <w:rPr>
                <w:rFonts w:ascii="Times New Roman" w:eastAsia="Times New Roman" w:hAnsi="Times New Roman" w:cs="Times New Roman"/>
                <w:lang w:eastAsia="pt-BR"/>
              </w:rPr>
              <w:t>Apresentação de laudos solicitados no descritivo         SIM    (  )            NÃO   (  )</w:t>
            </w:r>
          </w:p>
        </w:tc>
      </w:tr>
      <w:tr w:rsidR="00FD570E" w:rsidRPr="00FD570E" w14:paraId="139A8CAE" w14:textId="77777777" w:rsidTr="00620A60">
        <w:trPr>
          <w:trHeight w:val="561"/>
        </w:trPr>
        <w:tc>
          <w:tcPr>
            <w:tcW w:w="9782" w:type="dxa"/>
            <w:vAlign w:val="center"/>
          </w:tcPr>
          <w:p w14:paraId="6EB8FDF3" w14:textId="77777777" w:rsidR="00FD570E" w:rsidRPr="00FD570E" w:rsidRDefault="00FD570E" w:rsidP="00FD570E">
            <w:pPr>
              <w:spacing w:after="0" w:line="240" w:lineRule="auto"/>
              <w:rPr>
                <w:rFonts w:ascii="Times New Roman" w:eastAsia="Times New Roman" w:hAnsi="Times New Roman" w:cs="Times New Roman"/>
                <w:lang w:eastAsia="pt-BR"/>
              </w:rPr>
            </w:pPr>
            <w:r w:rsidRPr="00FD570E">
              <w:rPr>
                <w:rFonts w:ascii="Times New Roman" w:eastAsia="Times New Roman" w:hAnsi="Times New Roman" w:cs="Times New Roman"/>
                <w:lang w:eastAsia="pt-BR"/>
              </w:rPr>
              <w:t xml:space="preserve">Produto aprovado para uso no Serviço?        Sim    (  )        Não   (   )       </w:t>
            </w:r>
          </w:p>
          <w:p w14:paraId="49F33DE6" w14:textId="77777777" w:rsidR="00FD570E" w:rsidRPr="00FD570E" w:rsidRDefault="00FD570E" w:rsidP="00FD570E">
            <w:pPr>
              <w:spacing w:after="0" w:line="240" w:lineRule="auto"/>
              <w:rPr>
                <w:rFonts w:ascii="Times New Roman" w:eastAsia="Times New Roman" w:hAnsi="Times New Roman" w:cs="Times New Roman"/>
                <w:lang w:eastAsia="pt-BR"/>
              </w:rPr>
            </w:pPr>
          </w:p>
        </w:tc>
      </w:tr>
      <w:tr w:rsidR="00FD570E" w:rsidRPr="00FD570E" w14:paraId="4C5F35AE" w14:textId="77777777" w:rsidTr="00620A60">
        <w:trPr>
          <w:trHeight w:val="571"/>
        </w:trPr>
        <w:tc>
          <w:tcPr>
            <w:tcW w:w="9782" w:type="dxa"/>
          </w:tcPr>
          <w:p w14:paraId="2B13A6CF" w14:textId="77777777" w:rsidR="00FD570E" w:rsidRPr="00FD570E" w:rsidRDefault="00FD570E" w:rsidP="00FD570E">
            <w:pPr>
              <w:spacing w:after="0" w:line="240" w:lineRule="auto"/>
              <w:rPr>
                <w:rFonts w:ascii="Times New Roman" w:eastAsia="Times New Roman" w:hAnsi="Times New Roman" w:cs="Times New Roman"/>
                <w:szCs w:val="20"/>
                <w:lang w:eastAsia="pt-BR"/>
              </w:rPr>
            </w:pPr>
            <w:r w:rsidRPr="00FD570E">
              <w:rPr>
                <w:rFonts w:ascii="Times New Roman" w:eastAsia="Times New Roman" w:hAnsi="Times New Roman" w:cs="Times New Roman"/>
                <w:lang w:eastAsia="pt-BR"/>
              </w:rPr>
              <w:t>Avaliador (es)</w:t>
            </w:r>
            <w:r w:rsidRPr="00FD570E">
              <w:rPr>
                <w:rFonts w:ascii="Times New Roman" w:eastAsia="Times New Roman" w:hAnsi="Times New Roman" w:cs="Times New Roman"/>
                <w:szCs w:val="20"/>
                <w:lang w:eastAsia="pt-BR"/>
              </w:rPr>
              <w:t xml:space="preserve"> </w:t>
            </w:r>
          </w:p>
          <w:p w14:paraId="2BF3247F" w14:textId="77777777" w:rsidR="00FD570E" w:rsidRPr="00FD570E" w:rsidRDefault="00FD570E" w:rsidP="00FD570E">
            <w:pPr>
              <w:spacing w:after="0" w:line="240" w:lineRule="auto"/>
              <w:rPr>
                <w:rFonts w:ascii="Times New Roman" w:eastAsia="Times New Roman" w:hAnsi="Times New Roman" w:cs="Times New Roman"/>
                <w:sz w:val="16"/>
                <w:szCs w:val="16"/>
                <w:lang w:eastAsia="pt-BR"/>
              </w:rPr>
            </w:pPr>
            <w:r w:rsidRPr="00FD570E">
              <w:rPr>
                <w:rFonts w:ascii="Times New Roman" w:eastAsia="Times New Roman" w:hAnsi="Times New Roman" w:cs="Times New Roman"/>
                <w:sz w:val="16"/>
                <w:szCs w:val="16"/>
                <w:lang w:eastAsia="pt-BR"/>
              </w:rPr>
              <w:t>(carimbo/assinatura/data)</w:t>
            </w:r>
          </w:p>
          <w:p w14:paraId="29CBF90D" w14:textId="77777777" w:rsidR="00FD570E" w:rsidRPr="00FD570E" w:rsidRDefault="00FD570E" w:rsidP="00FD570E">
            <w:pPr>
              <w:spacing w:after="0" w:line="240" w:lineRule="auto"/>
              <w:rPr>
                <w:rFonts w:ascii="Times New Roman" w:eastAsia="Times New Roman" w:hAnsi="Times New Roman" w:cs="Times New Roman"/>
                <w:sz w:val="16"/>
                <w:szCs w:val="16"/>
                <w:lang w:eastAsia="pt-BR"/>
              </w:rPr>
            </w:pPr>
          </w:p>
          <w:p w14:paraId="111E2431" w14:textId="77777777" w:rsidR="00FD570E" w:rsidRPr="00FD570E" w:rsidRDefault="00FD570E" w:rsidP="00FD570E">
            <w:pPr>
              <w:spacing w:after="0" w:line="240" w:lineRule="auto"/>
              <w:rPr>
                <w:rFonts w:ascii="Times New Roman" w:eastAsia="Times New Roman" w:hAnsi="Times New Roman" w:cs="Times New Roman"/>
                <w:szCs w:val="20"/>
                <w:lang w:eastAsia="pt-BR"/>
              </w:rPr>
            </w:pPr>
          </w:p>
        </w:tc>
      </w:tr>
    </w:tbl>
    <w:p w14:paraId="7B9B31CB" w14:textId="77777777" w:rsidR="00FD570E" w:rsidRPr="00FD570E" w:rsidRDefault="00FD570E" w:rsidP="00FD570E">
      <w:pPr>
        <w:rPr>
          <w:rFonts w:ascii="Calibri" w:eastAsia="Times New Roman" w:hAnsi="Calibri" w:cs="Times New Roman"/>
        </w:rPr>
      </w:pPr>
    </w:p>
    <w:p w14:paraId="1D16DDFE" w14:textId="77777777" w:rsidR="00C11B71" w:rsidRDefault="00C11B71">
      <w:pPr>
        <w:rPr>
          <w:rFonts w:ascii="Arial" w:eastAsia="Times New Roman" w:hAnsi="Arial" w:cs="Arial"/>
          <w:b/>
          <w:bCs/>
          <w:color w:val="000000"/>
          <w:sz w:val="18"/>
          <w:szCs w:val="18"/>
          <w:lang w:eastAsia="pt-BR"/>
        </w:rPr>
      </w:pPr>
    </w:p>
    <w:p w14:paraId="625A4E2A" w14:textId="77777777" w:rsidR="00FD570E" w:rsidRDefault="00FD570E">
      <w:pP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br w:type="page"/>
      </w:r>
    </w:p>
    <w:p w14:paraId="531E8356" w14:textId="1A2A4308" w:rsidR="00D8320A" w:rsidRDefault="00596D7B" w:rsidP="003D577F">
      <w:pPr>
        <w:spacing w:after="0" w:line="240" w:lineRule="auto"/>
        <w:ind w:left="60" w:right="60"/>
        <w:jc w:val="cente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lastRenderedPageBreak/>
        <w:t>ANEXO II</w:t>
      </w:r>
    </w:p>
    <w:p w14:paraId="54A1629E" w14:textId="77777777" w:rsidR="00D8320A" w:rsidRDefault="00D8320A" w:rsidP="003D577F">
      <w:pPr>
        <w:spacing w:after="0" w:line="240" w:lineRule="auto"/>
        <w:ind w:left="60" w:right="60"/>
        <w:jc w:val="center"/>
        <w:rPr>
          <w:rFonts w:ascii="Arial" w:eastAsia="Times New Roman" w:hAnsi="Arial" w:cs="Arial"/>
          <w:b/>
          <w:bCs/>
          <w:color w:val="000000"/>
          <w:sz w:val="18"/>
          <w:szCs w:val="18"/>
          <w:lang w:eastAsia="pt-BR"/>
        </w:rPr>
      </w:pPr>
    </w:p>
    <w:p w14:paraId="4E512236" w14:textId="77777777" w:rsidR="003D577F" w:rsidRPr="00592295" w:rsidRDefault="003D577F" w:rsidP="003D577F">
      <w:pPr>
        <w:spacing w:after="0" w:line="240" w:lineRule="auto"/>
        <w:ind w:left="60" w:right="6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MODELO DE TERMO DE CONTRATO</w:t>
      </w:r>
      <w:r w:rsidRPr="00592295">
        <w:rPr>
          <w:rFonts w:ascii="Arial" w:eastAsia="Times New Roman" w:hAnsi="Arial" w:cs="Arial"/>
          <w:color w:val="000000"/>
          <w:sz w:val="18"/>
          <w:szCs w:val="18"/>
          <w:lang w:eastAsia="pt-BR"/>
        </w:rPr>
        <w:br/>
      </w:r>
      <w:r w:rsidRPr="00592295">
        <w:rPr>
          <w:rFonts w:ascii="Arial" w:eastAsia="Times New Roman" w:hAnsi="Arial" w:cs="Arial"/>
          <w:b/>
          <w:bCs/>
          <w:color w:val="000000"/>
          <w:sz w:val="18"/>
          <w:szCs w:val="18"/>
          <w:lang w:eastAsia="pt-BR"/>
        </w:rPr>
        <w:t>Lei nº 14.133, de 1º de abril de 2021</w:t>
      </w:r>
      <w:r w:rsidRPr="00592295">
        <w:rPr>
          <w:rFonts w:ascii="Arial" w:eastAsia="Times New Roman" w:hAnsi="Arial" w:cs="Arial"/>
          <w:color w:val="000000"/>
          <w:sz w:val="18"/>
          <w:szCs w:val="18"/>
          <w:lang w:eastAsia="pt-BR"/>
        </w:rPr>
        <w:br/>
      </w:r>
      <w:r w:rsidRPr="00592295">
        <w:rPr>
          <w:rFonts w:ascii="Arial" w:eastAsia="Times New Roman" w:hAnsi="Arial" w:cs="Arial"/>
          <w:b/>
          <w:bCs/>
          <w:color w:val="000000"/>
          <w:sz w:val="18"/>
          <w:szCs w:val="18"/>
          <w:lang w:eastAsia="pt-BR"/>
        </w:rPr>
        <w:t>AQUISIÇÕES – LICITAÇÃO</w:t>
      </w:r>
    </w:p>
    <w:p w14:paraId="199A5127"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093AEC4D" w14:textId="77777777"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TERMO DE CONTRATO ADMINISTRATIVO Nº XXXX/XXXX</w:t>
      </w:r>
    </w:p>
    <w:p w14:paraId="3487EC4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HOSPITAL DAS CLÍNICAS DA FACULDADE DE MEDICINA DA UNIVERSIDADE DE SÃO PAULO</w:t>
      </w:r>
    </w:p>
    <w:p w14:paraId="5D7F993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Processo SEI nº XXXXXXXXXXXXXXX</w:t>
      </w:r>
    </w:p>
    <w:p w14:paraId="0325826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5108CF29"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CONTRATO ADMINISTRATIVO Nº ......../...., CELEBRADO ENTRE O(A) ........................................................., POR INTERMÉDIO DO(A) ......................................................... E .............................................................</w:t>
      </w:r>
    </w:p>
    <w:p w14:paraId="5A0029A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534A6FF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69B5319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O</w:t>
      </w:r>
      <w:r w:rsidRPr="00592295">
        <w:rPr>
          <w:rFonts w:ascii="Arial" w:eastAsia="Times New Roman" w:hAnsi="Arial" w:cs="Arial"/>
          <w:i/>
          <w:iCs/>
          <w:color w:val="000000"/>
          <w:sz w:val="18"/>
          <w:szCs w:val="18"/>
          <w:lang w:eastAsia="pt-BR"/>
        </w:rPr>
        <w:t> </w:t>
      </w:r>
      <w:r w:rsidRPr="00592295">
        <w:rPr>
          <w:rFonts w:ascii="Arial" w:eastAsia="Times New Roman" w:hAnsi="Arial" w:cs="Arial"/>
          <w:b/>
          <w:bCs/>
          <w:color w:val="000000"/>
          <w:sz w:val="18"/>
          <w:szCs w:val="18"/>
          <w:lang w:eastAsia="pt-BR"/>
        </w:rPr>
        <w:t>HOSPITAL DAS CLÍNICAS DA FACULDADE DE MEDICINA DA UNIVERSIDADE DE SÃO PAULO,</w:t>
      </w:r>
      <w:r w:rsidRPr="00592295">
        <w:rPr>
          <w:rFonts w:ascii="Arial" w:eastAsia="Times New Roman" w:hAnsi="Arial" w:cs="Arial"/>
          <w:color w:val="000000"/>
          <w:sz w:val="18"/>
          <w:szCs w:val="18"/>
          <w:lang w:eastAsia="pt-BR"/>
        </w:rPr>
        <w:t> com sede na Rua Dr. Ovídio Pires de Campos, 225, bairro Cerqueira César na cidade de São Paulo, inscrito(a) no CNPJ sob o nº 60.448.040/0001-22 neste ato representado por seu Superintendente, Antônio Jose Rodrigues Pereira, CPF nº 106.527.498-0, no uso da competência conferida pela legislação aplicável, doravante denominado(a) CONTRATANTE, e o(a) .............................., no CNPJ/MF sob o nº ............................, sediado(a) na ..................................., doravante designado(a) CONTRATADO, neste ato representado(a) por .................................. (nome e função no contratado), inscrito(a) no CPF sob o nº .........., conforme atos constitutivos da fornecedora OU procuração apresentada nos autos, tendo em vista o que consta no Processo SEI nº XXXXXXXXXXXXXX e em observância às disposições da Lei nº 14.133, de 1º de abril de 2021, e demais normas da legislação aplicável, resolvem celebrar o presente Termo de Contrato, decorrente do Pregão Eletrônico nº XXX/2024, mediante as cláusulas e condições a seguir enunciada.</w:t>
      </w:r>
    </w:p>
    <w:p w14:paraId="673C3AC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0CA8DF9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PRIMEIRA – OBJETO (</w:t>
      </w:r>
      <w:hyperlink r:id="rId29" w:anchor="art92" w:tgtFrame="_blank" w:history="1">
        <w:r w:rsidRPr="00592295">
          <w:rPr>
            <w:rFonts w:ascii="Arial" w:eastAsia="Times New Roman" w:hAnsi="Arial" w:cs="Arial"/>
            <w:b/>
            <w:bCs/>
            <w:color w:val="0000FF"/>
            <w:sz w:val="18"/>
            <w:szCs w:val="18"/>
            <w:u w:val="single"/>
            <w:lang w:eastAsia="pt-BR"/>
          </w:rPr>
          <w:t>art. 92, I e II</w:t>
        </w:r>
      </w:hyperlink>
      <w:r w:rsidRPr="00592295">
        <w:rPr>
          <w:rFonts w:ascii="Arial" w:eastAsia="Times New Roman" w:hAnsi="Arial" w:cs="Arial"/>
          <w:b/>
          <w:bCs/>
          <w:color w:val="000000"/>
          <w:sz w:val="18"/>
          <w:szCs w:val="18"/>
          <w:lang w:eastAsia="pt-BR"/>
        </w:rPr>
        <w:t>)</w:t>
      </w:r>
    </w:p>
    <w:p w14:paraId="45961C7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 O objeto do presente instrumento é a contratação de material médico hospitalar, conforme detalhamento e especificações técnicas deste instrumento, do Termo de Referência, da proposta do Contratado e demais documentos da contratação constantes do processo administrativo em epígrafe.</w:t>
      </w:r>
    </w:p>
    <w:p w14:paraId="2ACDCF3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 Objeto da contratação:</w:t>
      </w:r>
    </w:p>
    <w:p w14:paraId="3492C18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bl>
      <w:tblPr>
        <w:tblW w:w="0" w:type="auto"/>
        <w:tblInd w:w="435" w:type="dxa"/>
        <w:tblCellMar>
          <w:top w:w="15" w:type="dxa"/>
          <w:left w:w="15" w:type="dxa"/>
          <w:bottom w:w="15" w:type="dxa"/>
          <w:right w:w="15" w:type="dxa"/>
        </w:tblCellMar>
        <w:tblLook w:val="04A0" w:firstRow="1" w:lastRow="0" w:firstColumn="1" w:lastColumn="0" w:noHBand="0" w:noVBand="1"/>
      </w:tblPr>
      <w:tblGrid>
        <w:gridCol w:w="795"/>
        <w:gridCol w:w="1859"/>
        <w:gridCol w:w="1085"/>
        <w:gridCol w:w="1154"/>
        <w:gridCol w:w="1500"/>
        <w:gridCol w:w="1182"/>
        <w:gridCol w:w="1046"/>
      </w:tblGrid>
      <w:tr w:rsidR="003D577F" w:rsidRPr="00592295" w14:paraId="4322066B" w14:textId="77777777" w:rsidTr="007E17FD">
        <w:tc>
          <w:tcPr>
            <w:tcW w:w="116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7D1818E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ITEM</w:t>
            </w:r>
          </w:p>
          <w:p w14:paraId="207F8E1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229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5879CE4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ESPECIFICAÇÃO</w:t>
            </w:r>
          </w:p>
        </w:tc>
        <w:tc>
          <w:tcPr>
            <w:tcW w:w="126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53EC860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CATMAT</w:t>
            </w:r>
          </w:p>
        </w:tc>
        <w:tc>
          <w:tcPr>
            <w:tcW w:w="127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33DE0EB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UNIDADE DE MEDIDA</w:t>
            </w:r>
          </w:p>
        </w:tc>
        <w:tc>
          <w:tcPr>
            <w:tcW w:w="1549"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68E72BF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QUANTIDADE TOTAL</w:t>
            </w:r>
          </w:p>
        </w:tc>
        <w:tc>
          <w:tcPr>
            <w:tcW w:w="1291"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078F7AE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VALOR UNITÁRIO</w:t>
            </w:r>
          </w:p>
        </w:tc>
        <w:tc>
          <w:tcPr>
            <w:tcW w:w="1218"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2669C7C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VALOR TOTAL</w:t>
            </w:r>
          </w:p>
        </w:tc>
      </w:tr>
      <w:tr w:rsidR="003D577F" w:rsidRPr="00592295" w14:paraId="41C4FF90" w14:textId="77777777" w:rsidTr="007E17FD">
        <w:tc>
          <w:tcPr>
            <w:tcW w:w="11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0B5D0AA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w:t>
            </w:r>
          </w:p>
        </w:tc>
        <w:tc>
          <w:tcPr>
            <w:tcW w:w="22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B6E1245" w14:textId="77777777"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w:t>
            </w:r>
          </w:p>
        </w:tc>
        <w:tc>
          <w:tcPr>
            <w:tcW w:w="126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18BF88A2" w14:textId="77777777"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7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6E95EBC" w14:textId="77777777"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w:t>
            </w:r>
          </w:p>
        </w:tc>
        <w:tc>
          <w:tcPr>
            <w:tcW w:w="154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1E40865" w14:textId="77777777"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6422EA13" w14:textId="77777777"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1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A7ABD82" w14:textId="77777777"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r>
      <w:tr w:rsidR="007E17FD" w:rsidRPr="00592295" w14:paraId="3D0A932B" w14:textId="77777777" w:rsidTr="007E17FD">
        <w:tc>
          <w:tcPr>
            <w:tcW w:w="11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3D8D2143"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w:t>
            </w:r>
          </w:p>
        </w:tc>
        <w:tc>
          <w:tcPr>
            <w:tcW w:w="22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6A41DB08"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w:t>
            </w:r>
          </w:p>
        </w:tc>
        <w:tc>
          <w:tcPr>
            <w:tcW w:w="126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B7CBDFC"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7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B9164F4"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w:t>
            </w:r>
          </w:p>
        </w:tc>
        <w:tc>
          <w:tcPr>
            <w:tcW w:w="154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13DAE0F3"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EF48AF1"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1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16831007"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r>
      <w:tr w:rsidR="007E17FD" w:rsidRPr="00592295" w14:paraId="672E4313" w14:textId="77777777" w:rsidTr="007E17FD">
        <w:tc>
          <w:tcPr>
            <w:tcW w:w="11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59BC9C0E"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w:t>
            </w:r>
          </w:p>
        </w:tc>
        <w:tc>
          <w:tcPr>
            <w:tcW w:w="22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3BBB135"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w:t>
            </w:r>
          </w:p>
        </w:tc>
        <w:tc>
          <w:tcPr>
            <w:tcW w:w="126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28A1C37"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7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7693B47"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w:t>
            </w:r>
          </w:p>
        </w:tc>
        <w:tc>
          <w:tcPr>
            <w:tcW w:w="154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B13EFB5"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6DFAF39"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1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E51E796"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r>
      <w:tr w:rsidR="007E17FD" w:rsidRPr="00592295" w14:paraId="38494D0D" w14:textId="77777777" w:rsidTr="007E17FD">
        <w:tc>
          <w:tcPr>
            <w:tcW w:w="11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74D02B15"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w:t>
            </w:r>
          </w:p>
        </w:tc>
        <w:tc>
          <w:tcPr>
            <w:tcW w:w="22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111B625"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w:t>
            </w:r>
          </w:p>
        </w:tc>
        <w:tc>
          <w:tcPr>
            <w:tcW w:w="126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F858A79"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7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511E267D"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w:t>
            </w:r>
          </w:p>
        </w:tc>
        <w:tc>
          <w:tcPr>
            <w:tcW w:w="154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CB75DC8"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195895C"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1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10C3881C"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r>
    </w:tbl>
    <w:p w14:paraId="6F1DAC02" w14:textId="77777777"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605CC315" w14:textId="77777777"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 O presente Termo de Contrato vincula-se à seguinte documentação, que se considera parte integrante deste instrumento, independentemente de transcrição:</w:t>
      </w:r>
    </w:p>
    <w:p w14:paraId="61B4EE4B"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 O Termo de Referência;</w:t>
      </w:r>
    </w:p>
    <w:p w14:paraId="7526A22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1.3.2. O Edital da Licitação;</w:t>
      </w:r>
    </w:p>
    <w:p w14:paraId="6627125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1.3.3. A Proposta do contratado; e</w:t>
      </w:r>
    </w:p>
    <w:p w14:paraId="03F6CC8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1.3.4. Eventuais anexos dos documentos supracitados.</w:t>
      </w:r>
    </w:p>
    <w:p w14:paraId="2E1015E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 O fornecimento do objeto será com entrega parcelada.</w:t>
      </w:r>
    </w:p>
    <w:p w14:paraId="3A24283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SEGUNDA – VIGÊNCIA E PRORROGAÇÃO</w:t>
      </w:r>
    </w:p>
    <w:p w14:paraId="18287B4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 O prazo de vigência da contratação é de .... ( .........) meses, contados a partir do primeiro dia útil subsequente à data de divulgação no PNCP, na forma do </w:t>
      </w:r>
      <w:hyperlink r:id="rId30" w:anchor="art105" w:tgtFrame="_blank" w:history="1">
        <w:r w:rsidRPr="00592295">
          <w:rPr>
            <w:rFonts w:ascii="Arial" w:eastAsia="Times New Roman" w:hAnsi="Arial" w:cs="Arial"/>
            <w:color w:val="0000FF"/>
            <w:sz w:val="18"/>
            <w:szCs w:val="18"/>
            <w:u w:val="single"/>
            <w:lang w:eastAsia="pt-BR"/>
          </w:rPr>
          <w:t>artigo 105 da Lei n° 14.133, de 2021</w:t>
        </w:r>
      </w:hyperlink>
      <w:r w:rsidRPr="00592295">
        <w:rPr>
          <w:rFonts w:ascii="Arial" w:eastAsia="Times New Roman" w:hAnsi="Arial" w:cs="Arial"/>
          <w:color w:val="000000"/>
          <w:sz w:val="18"/>
          <w:szCs w:val="18"/>
          <w:lang w:eastAsia="pt-BR"/>
        </w:rPr>
        <w:t>.</w:t>
      </w:r>
    </w:p>
    <w:p w14:paraId="640E722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2.1.1. O prazo de vigência será automaticamente prorrogado, independentemente de termo aditivo, quando o objeto não for concluído no período firmado acima, desde que justificadamente, pelo prazo necessário à conclusão do objeto, caso em que deverá a Administração providenciar a readequação do cronograma fixado para o contrato.</w:t>
      </w:r>
    </w:p>
    <w:p w14:paraId="193E9C8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2.1.2. Quando a não conclusão do objeto da contratação decorrer de culpa do Contratado:</w:t>
      </w:r>
    </w:p>
    <w:p w14:paraId="12070C9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2.1.2.1. O Contratado será constituído em mora, aplicáveis a ele as respectivas sanções administrativas;</w:t>
      </w:r>
    </w:p>
    <w:p w14:paraId="337B66E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2.1.2.2. O Contratante poderá optar pela extinção do contrato e, nesse caso, adotará as medidas admitidas em lei para a continuidade da execução contratual, nos termos do parágrafo único do artigo 111 da Lei federal nº 14.133/2021.</w:t>
      </w:r>
    </w:p>
    <w:p w14:paraId="2028A36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2.1.3. Não obstante o prazo estipulado nesta cláusula, quando ultrapassado o exercício, a vigência nos exercícios subsequentes ao da celebração do contrato estará sujeita a condição resolutiva, consubstanciada esta na inexistência de recursos aprovados nas respectivas Leis Orçamentárias de cada exercício para atender as respectivas despesas. Ocorrendo a resolução do contrato, com base na condição estipulada neste item, o Contratado não terá direito a qualquer espécie de indenização.</w:t>
      </w:r>
    </w:p>
    <w:p w14:paraId="5210C82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68DB936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TERCEIRA – MODELOS DE EXECUÇÃO E GESTÃO CONTRATUAIS (</w:t>
      </w:r>
      <w:hyperlink r:id="rId31" w:anchor="art92" w:tgtFrame="_blank" w:history="1">
        <w:r w:rsidRPr="00592295">
          <w:rPr>
            <w:rFonts w:ascii="Arial" w:eastAsia="Times New Roman" w:hAnsi="Arial" w:cs="Arial"/>
            <w:b/>
            <w:bCs/>
            <w:color w:val="0000FF"/>
            <w:sz w:val="18"/>
            <w:szCs w:val="18"/>
            <w:u w:val="single"/>
            <w:lang w:eastAsia="pt-BR"/>
          </w:rPr>
          <w:t>art. 92, IV, VII e XVIII)</w:t>
        </w:r>
      </w:hyperlink>
    </w:p>
    <w:p w14:paraId="4AB2AD5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3.1. A forma de fornecimento, os modelos de gestão e de execução, assim como os prazos e condições de início, conclusão, entrega, observação e recebimento do objeto, e critérios de medição, constam no Termo de Referência, que constitui parte integrante deste Contrato.</w:t>
      </w:r>
    </w:p>
    <w:p w14:paraId="43B08AB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66C588F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QUARTA – SUBCONTRATAÇÃO</w:t>
      </w:r>
    </w:p>
    <w:p w14:paraId="432404FB"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 Não será admitida a subcontratação, cessão ou transferência, total ou parcial, do objeto contratual.</w:t>
      </w:r>
    </w:p>
    <w:p w14:paraId="57DFF33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458168C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QUINTA – PREÇO (</w:t>
      </w:r>
      <w:hyperlink r:id="rId32" w:anchor="art92" w:tgtFrame="_blank" w:history="1">
        <w:r w:rsidRPr="00592295">
          <w:rPr>
            <w:rFonts w:ascii="Arial" w:eastAsia="Times New Roman" w:hAnsi="Arial" w:cs="Arial"/>
            <w:b/>
            <w:bCs/>
            <w:color w:val="0000FF"/>
            <w:sz w:val="18"/>
            <w:szCs w:val="18"/>
            <w:u w:val="single"/>
            <w:lang w:eastAsia="pt-BR"/>
          </w:rPr>
          <w:t>art. 92, V)</w:t>
        </w:r>
      </w:hyperlink>
    </w:p>
    <w:p w14:paraId="109C98A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 O valor total da contratação é de R$.......... (.....)</w:t>
      </w:r>
    </w:p>
    <w:p w14:paraId="6299A8D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5.2. No valor acima estão incluídos, além do lucro, todas as despesas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3BEE4BD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5.3. Caso o Contratado seja optante pelo Simples Nacional e, por causa superveniente à contratação, perca as condições de enquadramento como microempresa ou empresa de pequeno porte ou, ainda, torne-se impedido de beneficiar-se desse regime tributário diferenciado por incorrer em alguma das vedações previstas na </w:t>
      </w:r>
      <w:hyperlink r:id="rId33"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não poderá deixar de cumprir as obrigações avençadas perante a Administração, tampouco requerer o reequilíbrio econômico-financeiro, com base na alegação de que a sua proposta levou em consideração as vantagens daquele regime tributário diferenciado.</w:t>
      </w:r>
    </w:p>
    <w:p w14:paraId="3FDF6E5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7999ACA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SEXTA - PAGAMENTO (</w:t>
      </w:r>
      <w:hyperlink r:id="rId34" w:anchor="art92" w:tgtFrame="_blank" w:history="1">
        <w:r w:rsidRPr="00592295">
          <w:rPr>
            <w:rFonts w:ascii="Arial" w:eastAsia="Times New Roman" w:hAnsi="Arial" w:cs="Arial"/>
            <w:b/>
            <w:bCs/>
            <w:color w:val="0000FF"/>
            <w:sz w:val="18"/>
            <w:szCs w:val="18"/>
            <w:u w:val="single"/>
            <w:lang w:eastAsia="pt-BR"/>
          </w:rPr>
          <w:t>art. 92, V e VI</w:t>
        </w:r>
      </w:hyperlink>
      <w:r w:rsidRPr="00592295">
        <w:rPr>
          <w:rFonts w:ascii="Arial" w:eastAsia="Times New Roman" w:hAnsi="Arial" w:cs="Arial"/>
          <w:b/>
          <w:bCs/>
          <w:color w:val="000000"/>
          <w:sz w:val="18"/>
          <w:szCs w:val="18"/>
          <w:lang w:eastAsia="pt-BR"/>
        </w:rPr>
        <w:t>)</w:t>
      </w:r>
    </w:p>
    <w:p w14:paraId="1781EF8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 O prazo para pagamento ao contratado e demais condições a ele referentes encontram-se definidos no Termo de Referência, que constitui parte integrante deste Contrato.</w:t>
      </w:r>
    </w:p>
    <w:p w14:paraId="6ECE7B3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025A964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SÉTIMA - REAJUSTE (</w:t>
      </w:r>
      <w:hyperlink r:id="rId35" w:anchor="art92" w:tgtFrame="_blank" w:history="1">
        <w:r w:rsidRPr="00592295">
          <w:rPr>
            <w:rFonts w:ascii="Arial" w:eastAsia="Times New Roman" w:hAnsi="Arial" w:cs="Arial"/>
            <w:b/>
            <w:bCs/>
            <w:color w:val="0000FF"/>
            <w:sz w:val="18"/>
            <w:szCs w:val="18"/>
            <w:u w:val="single"/>
            <w:lang w:eastAsia="pt-BR"/>
          </w:rPr>
          <w:t>art. 92, V)</w:t>
        </w:r>
      </w:hyperlink>
    </w:p>
    <w:p w14:paraId="6844B1DB"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 Os preços inicialmente ajustados são fixos e irreajustáveis pelo prazo de 1 (um) ano contado da data do orçamento estimado, que corresponde a </w:t>
      </w:r>
      <w:r w:rsidRPr="00592295">
        <w:rPr>
          <w:rFonts w:ascii="Arial" w:eastAsia="Times New Roman" w:hAnsi="Arial" w:cs="Arial"/>
          <w:i/>
          <w:iCs/>
          <w:color w:val="000000"/>
          <w:sz w:val="18"/>
          <w:szCs w:val="18"/>
          <w:lang w:eastAsia="pt-BR"/>
        </w:rPr>
        <w:t>04/2024.</w:t>
      </w:r>
    </w:p>
    <w:p w14:paraId="2E680D0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 É previsto reajuste anual dos preços inicialmente ajustados, de modo que, caso o prazo de execução do objeto contratual ultrapasse a data em que se configure 1 (um) ano a contar da data do orçamento estimado, e mediante pedido do contratado, os preços iniciais serão reajustados, mediante a aplicação, pelo contratante, do índice IPC-FIPE</w:t>
      </w:r>
      <w:r w:rsidRPr="00592295">
        <w:rPr>
          <w:rFonts w:ascii="Arial" w:eastAsia="Times New Roman" w:hAnsi="Arial" w:cs="Arial"/>
          <w:i/>
          <w:iCs/>
          <w:color w:val="000000"/>
          <w:sz w:val="18"/>
          <w:szCs w:val="18"/>
          <w:lang w:eastAsia="pt-BR"/>
        </w:rPr>
        <w:t>,</w:t>
      </w:r>
      <w:r w:rsidRPr="00592295">
        <w:rPr>
          <w:rFonts w:ascii="Arial" w:eastAsia="Times New Roman" w:hAnsi="Arial" w:cs="Arial"/>
          <w:color w:val="000000"/>
          <w:sz w:val="18"/>
          <w:szCs w:val="18"/>
          <w:lang w:eastAsia="pt-BR"/>
        </w:rPr>
        <w:t> exclusivamente para as obrigações iniciadas e concluídas após a ocorrência da anualidade.</w:t>
      </w:r>
    </w:p>
    <w:p w14:paraId="68C7C62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7.3. No caso de reajuste(s) subsequente(s) ao primeiro, o interregno mínimo de um ano será contado a partir dos efeitos financeiros do último reajuste.</w:t>
      </w:r>
    </w:p>
    <w:p w14:paraId="530A1B3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7.4. No caso de atraso ou não divulgação do(s) índice(s) de reajustamento, o contratante pagará ao contratado a importância calculada pela última variação conhecida, liquidando a diferença correspondente tão logo seja(m) divulgado(s) o(s) índice(s) definitivo(s).</w:t>
      </w:r>
    </w:p>
    <w:p w14:paraId="45C1E9C9"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7.5. Nas aferições finais, o(s) índice(s) utilizado(s) para reajuste será(ão), obrigatoriamente, o(s) definitivo(s).</w:t>
      </w:r>
    </w:p>
    <w:p w14:paraId="3B32ACB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7.6. Caso o(s) índice(s) estabelecido(s) para reajustamento venha(m) a ser extinto(s) ou de qualquer forma não possa(m) mais ser utilizado(s), será(ão) adotado(s), em substituição, o(s) que vier(em) a ser determinado(s) pela legislação então em vigor.</w:t>
      </w:r>
    </w:p>
    <w:p w14:paraId="2217F8F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 Na ausência de previsão legal quanto ao índice substituto, as partes elegerão novo índice oficial, para reajustamento do preço do valor remanescente, por meio de termo aditivo.</w:t>
      </w:r>
    </w:p>
    <w:p w14:paraId="0CB7D0F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7.8. O reajuste será realizado por apostilamento.</w:t>
      </w:r>
    </w:p>
    <w:p w14:paraId="02D8390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OITAVA - OBRIGAÇÕES DO CONTRATANTE (</w:t>
      </w:r>
      <w:hyperlink r:id="rId36" w:anchor="art92" w:tgtFrame="_blank" w:history="1">
        <w:r w:rsidRPr="00592295">
          <w:rPr>
            <w:rFonts w:ascii="Arial" w:eastAsia="Times New Roman" w:hAnsi="Arial" w:cs="Arial"/>
            <w:b/>
            <w:bCs/>
            <w:color w:val="0000FF"/>
            <w:sz w:val="18"/>
            <w:szCs w:val="18"/>
            <w:u w:val="single"/>
            <w:lang w:eastAsia="pt-BR"/>
          </w:rPr>
          <w:t>art. 92, X, XI e XIV</w:t>
        </w:r>
      </w:hyperlink>
      <w:r w:rsidRPr="00592295">
        <w:rPr>
          <w:rFonts w:ascii="Arial" w:eastAsia="Times New Roman" w:hAnsi="Arial" w:cs="Arial"/>
          <w:b/>
          <w:bCs/>
          <w:color w:val="000000"/>
          <w:sz w:val="18"/>
          <w:szCs w:val="18"/>
          <w:lang w:eastAsia="pt-BR"/>
        </w:rPr>
        <w:t>)</w:t>
      </w:r>
    </w:p>
    <w:p w14:paraId="3C11465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 São obrigações do Contratante:</w:t>
      </w:r>
    </w:p>
    <w:p w14:paraId="7DC5692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8.2. Exigir o cumprimento de todas as obrigações assumidas pelo Contratado, de acordo com o contrato e a documentação que o integra;</w:t>
      </w:r>
    </w:p>
    <w:p w14:paraId="195FE85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8.3. Receber o objeto no prazo e condições estabelecidas no Termo de Referência;</w:t>
      </w:r>
    </w:p>
    <w:p w14:paraId="0F603BA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8.4. Notificar o Contratado, por escrito, sobre vícios, defeitos ou incorreções verificadas no objeto fornecido, para que seja por ele substituído, reparado ou corrigido, no total ou em parte, a expensas do Contratado;</w:t>
      </w:r>
    </w:p>
    <w:p w14:paraId="79DE23E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8.5. Acompanhar e fiscalizar a execução do contrato e o cumprimento das obrigações pelo Contratado;</w:t>
      </w:r>
    </w:p>
    <w:p w14:paraId="5A15314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8.6. Efetuar o pagamento ao Contratado do valor correspondente ao fornecimento do objeto, no prazo, forma e condições estabelecidos no presente Contrato e no Termo de Referência.</w:t>
      </w:r>
    </w:p>
    <w:p w14:paraId="7A0F9C0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8.7. Aplicar ao Contratado as sanções previstas na lei e neste Contrato;</w:t>
      </w:r>
    </w:p>
    <w:p w14:paraId="43E267D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8.8. Cientificar o órgão de representação judicial da Procuradoria Geral do Estado para adoção das medidas cabíveis quando necessária medida judicial diante do descumprimento de obrigações pelo Contratado;</w:t>
      </w:r>
    </w:p>
    <w:p w14:paraId="5FB6FAD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8.9. Explicitamente emitir decisão sobre todas as solicitações e reclamações relacionadas à execução do presente Contrato, ressalvados os requerimentos manifestamente impertinentes, meramente protelatórios ou de nenhum interesse para a boa execução do ajuste, observado o prazo de</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30 (trinta) dias para decisão, a contar da conclusão da instrução do requerimento, admitida a prorrogação motivada, por igual período, e excepcionada a hipótese de disposição legal ou cláusula contratual que estabeleça prazo específico.</w:t>
      </w:r>
    </w:p>
    <w:p w14:paraId="09C1485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8.10. Responder eventuais pedidos de reestabelecimento do equilíbrio econômico-financeiro feitos pelo contratado no prazo máximo de 30 (trinta) dias, contado a partir da conclusão da instrução do requerimento, sendo admitida a prorrogação motivada desse prazo por igual período, e observado o disposto no parágrafo único do artigo 131 da Lei nº 14.133, de 2021.</w:t>
      </w:r>
    </w:p>
    <w:p w14:paraId="5700393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8.11. Observar, no tratamento de dados pessoais de profissionais, empregados, prepostos, administradores e/ou sócios do Contratado, a que tenha acesso durante a execução do objeto a que se refere a cláusula primeira deste contrato, as normas legais e regulamentares aplicáveis, em especial, a Lei nº 13.709, de 14 de agosto de 2018, com suas alterações subsequentes.</w:t>
      </w:r>
    </w:p>
    <w:p w14:paraId="3E9F10F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8.12. O prazo para resposta ao pedido de restabelecimento do equilíbrio econômico-financeiro não se iniciará enquanto o Contratado não cumprir os atos ou apresentar a documentação solicitada pelo Contratante para adequada instrução do requerimento.</w:t>
      </w:r>
    </w:p>
    <w:p w14:paraId="775B0A2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8.13. A Administração não responderá por quaisquer compromissos assumidos pelo Contratado com terceiros, ainda que vinculados à execução do contrato, bem como por qualquer dano causado a terceiros em decorrência de ato do Contratado, de seus profissionais, prepostos ou subordinados.</w:t>
      </w:r>
    </w:p>
    <w:p w14:paraId="7AA26BD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9.</w:t>
      </w:r>
    </w:p>
    <w:p w14:paraId="4410DF8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9. CLÁUSULA NONA - OBRIGAÇÕES DO CONTRATADO (</w:t>
      </w:r>
      <w:hyperlink r:id="rId37" w:anchor="art92" w:tgtFrame="_blank" w:history="1">
        <w:r w:rsidRPr="00592295">
          <w:rPr>
            <w:rFonts w:ascii="Arial" w:eastAsia="Times New Roman" w:hAnsi="Arial" w:cs="Arial"/>
            <w:b/>
            <w:bCs/>
            <w:color w:val="0000FF"/>
            <w:sz w:val="18"/>
            <w:szCs w:val="18"/>
            <w:u w:val="single"/>
            <w:lang w:eastAsia="pt-BR"/>
          </w:rPr>
          <w:t>art. 92, XIV, XVI e XVII)</w:t>
        </w:r>
      </w:hyperlink>
    </w:p>
    <w:p w14:paraId="565BA9E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 O Contratado deve cumprir todas as obrigações estabelecidas em lei, e aquelas constantes deste Contrato e da documentação que o integra, assumindo como exclusivamente seus os riscos e as despesas decorrentes da boa e perfeita execução do objeto, observando, ainda, as obrigações a seguir dispostas:</w:t>
      </w:r>
    </w:p>
    <w:p w14:paraId="159148A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9.1.1. </w:t>
      </w:r>
      <w:r w:rsidRPr="00592295">
        <w:rPr>
          <w:rFonts w:ascii="Arial" w:eastAsia="Times New Roman" w:hAnsi="Arial" w:cs="Arial"/>
          <w:i/>
          <w:iCs/>
          <w:color w:val="000000"/>
          <w:sz w:val="18"/>
          <w:szCs w:val="18"/>
          <w:lang w:eastAsia="pt-BR"/>
        </w:rPr>
        <w:t>Entregar o objeto conforme condições estipuladas no Termo de Referência;</w:t>
      </w:r>
    </w:p>
    <w:p w14:paraId="019BEFD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9.1.2. Designar o responsável pelo acompanhamento da execução das atividades e pelos contatos com o Contratante;</w:t>
      </w:r>
    </w:p>
    <w:p w14:paraId="564C595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9.1.3. Responsabilizar-se pelos vícios e danos decorrentes do objeto, de acordo com o Código de Defesa do Consumidor (</w:t>
      </w:r>
      <w:hyperlink r:id="rId38" w:tgtFrame="_blank" w:history="1">
        <w:r w:rsidRPr="00592295">
          <w:rPr>
            <w:rFonts w:ascii="Arial" w:eastAsia="Times New Roman" w:hAnsi="Arial" w:cs="Arial"/>
            <w:color w:val="0000FF"/>
            <w:sz w:val="18"/>
            <w:szCs w:val="18"/>
            <w:u w:val="single"/>
            <w:lang w:eastAsia="pt-BR"/>
          </w:rPr>
          <w:t>Lei nº 8.078, de 1990</w:t>
        </w:r>
      </w:hyperlink>
      <w:r w:rsidRPr="00592295">
        <w:rPr>
          <w:rFonts w:ascii="Arial" w:eastAsia="Times New Roman" w:hAnsi="Arial" w:cs="Arial"/>
          <w:color w:val="000000"/>
          <w:sz w:val="18"/>
          <w:szCs w:val="18"/>
          <w:lang w:eastAsia="pt-BR"/>
        </w:rPr>
        <w:t>);</w:t>
      </w:r>
    </w:p>
    <w:p w14:paraId="4A0CBA8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9.1.4. Comunicar ao contratante, assim que possível e com a devida antecedência em relação à data da entrega, os motivos que impossibilitem o cumprimento do prazo previsto, com a devida comprovação, caso ocorrida tal circunstância;</w:t>
      </w:r>
    </w:p>
    <w:p w14:paraId="655C6A0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9.1.5. Atender às determinações regulares emitidas pelo fiscal ou gestor do contrato ou autoridade superior (</w:t>
      </w:r>
      <w:hyperlink r:id="rId39" w:anchor="art137" w:tgtFrame="_blank" w:history="1">
        <w:r w:rsidRPr="00592295">
          <w:rPr>
            <w:rFonts w:ascii="Arial" w:eastAsia="Times New Roman" w:hAnsi="Arial" w:cs="Arial"/>
            <w:color w:val="0000FF"/>
            <w:sz w:val="18"/>
            <w:szCs w:val="18"/>
            <w:u w:val="single"/>
            <w:lang w:eastAsia="pt-BR"/>
          </w:rPr>
          <w:t>art. 137, II, da Lei n.º 14.133, de 2021</w:t>
        </w:r>
      </w:hyperlink>
      <w:r w:rsidRPr="00592295">
        <w:rPr>
          <w:rFonts w:ascii="Arial" w:eastAsia="Times New Roman" w:hAnsi="Arial" w:cs="Arial"/>
          <w:color w:val="000000"/>
          <w:sz w:val="18"/>
          <w:szCs w:val="18"/>
          <w:lang w:eastAsia="pt-BR"/>
        </w:rPr>
        <w:t>) e prestar todo esclarecimento ou informação por eles solicitados;</w:t>
      </w:r>
    </w:p>
    <w:p w14:paraId="255CE6C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9.1.6. Reparar, corrigir, remover, reconstruir ou substituir, às suas expensas, no total ou em parte, no prazo fixado pelo fiscal do contrato, os bens nos quais se verificarem vícios, defeitos ou incorreções resultantes da execução ou dos materiais empregados;</w:t>
      </w:r>
    </w:p>
    <w:p w14:paraId="780E8F19"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9.1.7. Responsabilizar-se pelos vícios e danos decorrentes da execução do objeto, bem como por todo e qualquer dano causado diretamente à Administração ou a terceiros em razão da execução do contrato, não excluindo nem reduzindo essa responsabilidade a fiscalização ou o acompanhamento da execução contratual pelo contratante, que ficará autorizado a descontar dos pagamentos devidos ou da garantia, caso exigida na documentação que integra este instrumento, o valor correspondente aos danos sofridos;</w:t>
      </w:r>
    </w:p>
    <w:p w14:paraId="6194A95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9.1.8. Quando não for possível a verificação da regularidade no Sistema de Cadastramento Unificado de Fornecedores – SICAF ou em outros meios eletrônicos hábeis de informações, o contratado deverá atender a notificação para entregar ao setor responsável pela fiscalização do contrato, no prazo de 5 (cinco) dias úteis, os seguintes documentos: 1) certidão conjunta relativa aos tributos federais e à Dívida Ativa da União; 2) certidões que comprovem regularidade fiscal perante as Fazendas Estadual/Distrital e/ou Municipal/Distrital do domicílio ou sede do contratado que tenham sido exigidas para fins de habilitação na documentação que integra este instrumento; 3) Certidão de Regularidade do FGTS – CRF; e 4) Certidão Negativa, ou positiva com efeitos de negativa, de Débitos Trabalhistas – CNDT;</w:t>
      </w:r>
    </w:p>
    <w:p w14:paraId="1F325B9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9.1.9. Responsabilizar-se pelo cumprimento de todas as obrigações e encargos trabalhistas, previdenciários, fiscais, comerciais e os demais previstos em legislação específica, cuja inadimplência não transfere a responsabilidade ao contratante e não poderá onerar o objeto do contrato, nos termos do artigo 121 da Lei nº 14.133, de 2021;</w:t>
      </w:r>
    </w:p>
    <w:p w14:paraId="69F0343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9.1.10. Comunicar ao Fiscal do contrato, assim que possível, qualquer ocorrência anormal ou acidente que se verifique no local da execução do objeto contratual.</w:t>
      </w:r>
    </w:p>
    <w:p w14:paraId="3F0F76E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9.1.11. Paralisar, por determinação do contratante, qualquer atividade que não esteja sendo executada de acordo com a boa técnica ou que ponha em risco a segurança de pessoas ou bens de terceiros.</w:t>
      </w:r>
    </w:p>
    <w:p w14:paraId="4F511E6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9.1.12. Manter, durante toda a execução do contrato, em compatibilidade com as obrigações assumidas, todas as condições de habilitação e qualificação exigidas na licitação;</w:t>
      </w:r>
    </w:p>
    <w:p w14:paraId="760784B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9.1.13. Cumprir, durante todo o período de execução do contrato, a reserva de cargos prevista em lei para pessoa com deficiência, para reabilitado da Previdência Social ou para aprendiz, bem como as reservas de cargos previstas em outras normas específicas (</w:t>
      </w:r>
      <w:hyperlink r:id="rId40" w:anchor="art116" w:tgtFrame="_blank" w:history="1">
        <w:r w:rsidRPr="00592295">
          <w:rPr>
            <w:rFonts w:ascii="Arial" w:eastAsia="Times New Roman" w:hAnsi="Arial" w:cs="Arial"/>
            <w:color w:val="0000FF"/>
            <w:sz w:val="18"/>
            <w:szCs w:val="18"/>
            <w:u w:val="single"/>
            <w:lang w:eastAsia="pt-BR"/>
          </w:rPr>
          <w:t>art. 116, da Lei n.º 14.133, de 2021</w:t>
        </w:r>
      </w:hyperlink>
      <w:r w:rsidRPr="00592295">
        <w:rPr>
          <w:rFonts w:ascii="Arial" w:eastAsia="Times New Roman" w:hAnsi="Arial" w:cs="Arial"/>
          <w:color w:val="000000"/>
          <w:sz w:val="18"/>
          <w:szCs w:val="18"/>
          <w:lang w:eastAsia="pt-BR"/>
        </w:rPr>
        <w:t>);</w:t>
      </w:r>
    </w:p>
    <w:p w14:paraId="197B6EF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9.1.14. Comprovar o cumprimento da reserva de cargos a que se refere o item anterior, no prazo fixado pelo fiscal do contrato, com a indicação dos empregados que preencheram as referidas vagas (</w:t>
      </w:r>
      <w:hyperlink r:id="rId41" w:anchor="art116" w:tgtFrame="_blank" w:history="1">
        <w:r w:rsidRPr="00592295">
          <w:rPr>
            <w:rFonts w:ascii="Arial" w:eastAsia="Times New Roman" w:hAnsi="Arial" w:cs="Arial"/>
            <w:color w:val="0000FF"/>
            <w:sz w:val="18"/>
            <w:szCs w:val="18"/>
            <w:u w:val="single"/>
            <w:lang w:eastAsia="pt-BR"/>
          </w:rPr>
          <w:t>art. 116, parágrafo único, da Lei n.º 14.133, de 2021</w:t>
        </w:r>
      </w:hyperlink>
      <w:r w:rsidRPr="00592295">
        <w:rPr>
          <w:rFonts w:ascii="Arial" w:eastAsia="Times New Roman" w:hAnsi="Arial" w:cs="Arial"/>
          <w:color w:val="000000"/>
          <w:sz w:val="18"/>
          <w:szCs w:val="18"/>
          <w:lang w:eastAsia="pt-BR"/>
        </w:rPr>
        <w:t>);</w:t>
      </w:r>
    </w:p>
    <w:p w14:paraId="2F5DF2B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9.1.15. Guardar sigilo sobre todas as informações obtidas em decorrência do cumprimento do contrato, respondendo, administrativa, civil e criminalmente por sua indevida divulgação e incorreta ou inadequada utilização;</w:t>
      </w:r>
    </w:p>
    <w:p w14:paraId="42346A2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9.1.16. Arcar com o ônus decorrente de eventual equívoco no dimensionamento de sua proposta, inclusive quanto aos custos variáveis decorrentes de fatores futuros, mas que sejam previsíveis em seu ramo de atividade;</w:t>
      </w:r>
    </w:p>
    <w:p w14:paraId="6FD8818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9.1.17. Cumprir as disposições legais e regulamentares federais, estaduais e municipais que interfiram na execução do objeto, bem como as normas de segurança do contratante;</w:t>
      </w:r>
    </w:p>
    <w:p w14:paraId="5FEDF67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9.2. Em atendimento à </w:t>
      </w:r>
      <w:hyperlink r:id="rId42" w:tgtFrame="_blank" w:history="1">
        <w:r w:rsidRPr="00592295">
          <w:rPr>
            <w:rFonts w:ascii="Arial" w:eastAsia="Times New Roman" w:hAnsi="Arial" w:cs="Arial"/>
            <w:color w:val="0000FF"/>
            <w:sz w:val="18"/>
            <w:szCs w:val="18"/>
            <w:u w:val="single"/>
            <w:lang w:eastAsia="pt-BR"/>
          </w:rPr>
          <w:t>Lei nº 12.846, de 2013</w:t>
        </w:r>
      </w:hyperlink>
      <w:r w:rsidRPr="00592295">
        <w:rPr>
          <w:rFonts w:ascii="Arial" w:eastAsia="Times New Roman" w:hAnsi="Arial" w:cs="Arial"/>
          <w:color w:val="000000"/>
          <w:sz w:val="18"/>
          <w:szCs w:val="18"/>
          <w:lang w:eastAsia="pt-BR"/>
        </w:rPr>
        <w:t>, e ao </w:t>
      </w:r>
      <w:hyperlink r:id="rId43" w:tgtFrame="_blank" w:history="1">
        <w:r w:rsidRPr="00592295">
          <w:rPr>
            <w:rFonts w:ascii="Arial" w:eastAsia="Times New Roman" w:hAnsi="Arial" w:cs="Arial"/>
            <w:color w:val="0000FF"/>
            <w:sz w:val="18"/>
            <w:szCs w:val="18"/>
            <w:u w:val="single"/>
            <w:lang w:eastAsia="pt-BR"/>
          </w:rPr>
          <w:t>Decreto estadual nº 67.301, de 2022</w:t>
        </w:r>
      </w:hyperlink>
      <w:r w:rsidRPr="00592295">
        <w:rPr>
          <w:rFonts w:ascii="Arial" w:eastAsia="Times New Roman" w:hAnsi="Arial" w:cs="Arial"/>
          <w:color w:val="000000"/>
          <w:sz w:val="18"/>
          <w:szCs w:val="18"/>
          <w:lang w:eastAsia="pt-BR"/>
        </w:rPr>
        <w:t>, o Contratado se compromete a conduzir os seus negócios de forma a coibir fraudes, corrupção e quaisquer outros atos lesivos à Administração Pública, nacional ou estrangeira, de modo que o Contratado não poderá oferecer, dar ou se comprometer a dar a quem quer que seja, tampouco aceitar ou se comprometer a aceitar de quem quer que seja, por conta própria ou por intermédio de outrem, qualquer pagamento, doação, compensação, vantagens financeiras ou benefícios de qualquer espécie relacionados de forma direta ou indireta ao objeto deste contrato, o que deve ser observado, ainda, pelos seus prepostos, colaboradores e eventuais subcontratados, caso permitida a subcontratação.</w:t>
      </w:r>
    </w:p>
    <w:p w14:paraId="471494E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9.2.1. O descumprimento das obrigações previstas neste subitem poderá submeter o Contratado à extinção unilateral do contrato, a critério do Contratante, sem prejuízo da aplicação das sanções penais e administrativas cabíveis e, também, da instauração do processo administrativo de responsabilização de que tratam a </w:t>
      </w:r>
      <w:hyperlink r:id="rId44" w:tgtFrame="_blank" w:history="1">
        <w:r w:rsidRPr="00592295">
          <w:rPr>
            <w:rFonts w:ascii="Arial" w:eastAsia="Times New Roman" w:hAnsi="Arial" w:cs="Arial"/>
            <w:color w:val="0000FF"/>
            <w:sz w:val="18"/>
            <w:szCs w:val="18"/>
            <w:u w:val="single"/>
            <w:lang w:eastAsia="pt-BR"/>
          </w:rPr>
          <w:t>Lei nº 12.846, de 2013</w:t>
        </w:r>
      </w:hyperlink>
      <w:r w:rsidRPr="00592295">
        <w:rPr>
          <w:rFonts w:ascii="Arial" w:eastAsia="Times New Roman" w:hAnsi="Arial" w:cs="Arial"/>
          <w:color w:val="000000"/>
          <w:sz w:val="18"/>
          <w:szCs w:val="18"/>
          <w:lang w:eastAsia="pt-BR"/>
        </w:rPr>
        <w:t>, e o </w:t>
      </w:r>
      <w:hyperlink r:id="rId45" w:tgtFrame="_blank" w:history="1">
        <w:r w:rsidRPr="00592295">
          <w:rPr>
            <w:rFonts w:ascii="Arial" w:eastAsia="Times New Roman" w:hAnsi="Arial" w:cs="Arial"/>
            <w:color w:val="0000FF"/>
            <w:sz w:val="18"/>
            <w:szCs w:val="18"/>
            <w:u w:val="single"/>
            <w:lang w:eastAsia="pt-BR"/>
          </w:rPr>
          <w:t>Decreto estadual nº 67.301, de 2022</w:t>
        </w:r>
      </w:hyperlink>
      <w:r w:rsidRPr="00592295">
        <w:rPr>
          <w:rFonts w:ascii="Arial" w:eastAsia="Times New Roman" w:hAnsi="Arial" w:cs="Arial"/>
          <w:color w:val="000000"/>
          <w:sz w:val="18"/>
          <w:szCs w:val="18"/>
          <w:lang w:eastAsia="pt-BR"/>
        </w:rPr>
        <w:t>.</w:t>
      </w:r>
    </w:p>
    <w:p w14:paraId="7BA08CA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 O Contratado obriga-se a não admitir a participação, na execução deste contrato, de:</w:t>
      </w:r>
    </w:p>
    <w:p w14:paraId="5940A16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9.3.1. agente público de órgão ou entidade licitante ou contratante, ou terceiro que auxilie a condução da contratação na qualidade de integrante de equipe de apoio, profissional especializado ou funcionário ou representante de empresa que preste assessoria técnica, nos termos dos §§ 1º e 2º do artigo 9º da </w:t>
      </w:r>
      <w:hyperlink r:id="rId46"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1F7C07CB"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9.3.2. pessoa que mantenha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nos termos do inciso IV do artigo 14 e/ou parágrafo único do artigo 48 da </w:t>
      </w:r>
      <w:hyperlink r:id="rId47"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7443AC6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9.3.3. pessoas que se enquadrem nas demais vedações previstas no artigo 14 da </w:t>
      </w:r>
      <w:hyperlink r:id="rId48"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63397AA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2F224789"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GARANTIA DE EXECUÇÃO (</w:t>
      </w:r>
      <w:hyperlink r:id="rId49" w:anchor="art92" w:tgtFrame="_blank" w:history="1">
        <w:r w:rsidRPr="00592295">
          <w:rPr>
            <w:rFonts w:ascii="Arial" w:eastAsia="Times New Roman" w:hAnsi="Arial" w:cs="Arial"/>
            <w:b/>
            <w:bCs/>
            <w:color w:val="0000FF"/>
            <w:sz w:val="18"/>
            <w:szCs w:val="18"/>
            <w:u w:val="single"/>
            <w:lang w:eastAsia="pt-BR"/>
          </w:rPr>
          <w:t>art. 92, XII</w:t>
        </w:r>
      </w:hyperlink>
      <w:r w:rsidRPr="00592295">
        <w:rPr>
          <w:rFonts w:ascii="Arial" w:eastAsia="Times New Roman" w:hAnsi="Arial" w:cs="Arial"/>
          <w:b/>
          <w:bCs/>
          <w:color w:val="000000"/>
          <w:sz w:val="18"/>
          <w:szCs w:val="18"/>
          <w:lang w:eastAsia="pt-BR"/>
        </w:rPr>
        <w:t>)</w:t>
      </w:r>
    </w:p>
    <w:p w14:paraId="511F0C7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10.1. </w:t>
      </w:r>
      <w:r w:rsidRPr="00592295">
        <w:rPr>
          <w:rFonts w:ascii="Arial" w:eastAsia="Times New Roman" w:hAnsi="Arial" w:cs="Arial"/>
          <w:i/>
          <w:iCs/>
          <w:color w:val="000000"/>
          <w:sz w:val="18"/>
          <w:szCs w:val="18"/>
          <w:lang w:eastAsia="pt-BR"/>
        </w:rPr>
        <w:t>Não haverá exigência de garantia contratual da execução.</w:t>
      </w:r>
    </w:p>
    <w:p w14:paraId="2F2E05D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13A24C4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PRIMEIRA – INFRAÇÕES E SANÇÕES ADMINISTRATIVAS (</w:t>
      </w:r>
      <w:hyperlink r:id="rId50" w:anchor="art92" w:tgtFrame="_blank" w:history="1">
        <w:r w:rsidRPr="00592295">
          <w:rPr>
            <w:rFonts w:ascii="Arial" w:eastAsia="Times New Roman" w:hAnsi="Arial" w:cs="Arial"/>
            <w:b/>
            <w:bCs/>
            <w:color w:val="0000FF"/>
            <w:sz w:val="18"/>
            <w:szCs w:val="18"/>
            <w:u w:val="single"/>
            <w:lang w:eastAsia="pt-BR"/>
          </w:rPr>
          <w:t>art. 92, XIV</w:t>
        </w:r>
      </w:hyperlink>
      <w:r w:rsidRPr="00592295">
        <w:rPr>
          <w:rFonts w:ascii="Arial" w:eastAsia="Times New Roman" w:hAnsi="Arial" w:cs="Arial"/>
          <w:b/>
          <w:bCs/>
          <w:color w:val="000000"/>
          <w:sz w:val="18"/>
          <w:szCs w:val="18"/>
          <w:lang w:eastAsia="pt-BR"/>
        </w:rPr>
        <w:t>)</w:t>
      </w:r>
    </w:p>
    <w:p w14:paraId="545493A9"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 Comete infração administrativa, nos termos da </w:t>
      </w:r>
      <w:hyperlink r:id="rId51"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o contratado que:</w:t>
      </w:r>
    </w:p>
    <w:p w14:paraId="4BB194C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der causa à inexecução parcial do contrato;</w:t>
      </w:r>
    </w:p>
    <w:p w14:paraId="76A4B28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der causa à inexecução parcial do contrato que cause grave dano à Administração ou ao funcionamento dos serviços públicos ou ao interesse coletivo;</w:t>
      </w:r>
    </w:p>
    <w:p w14:paraId="2763213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der causa à inexecução total do contrato;</w:t>
      </w:r>
    </w:p>
    <w:p w14:paraId="20FE323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 ensejar o retardamento da execução ou da entrega do objeto da contratação sem motivo justificado;</w:t>
      </w:r>
    </w:p>
    <w:p w14:paraId="52D85B4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 apresentar documentação falsa ou prestar declaração falsa durante a execução do contrato;</w:t>
      </w:r>
    </w:p>
    <w:p w14:paraId="513214E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 praticar ato fraudulento na execução do contrato;</w:t>
      </w:r>
    </w:p>
    <w:p w14:paraId="0958833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g) comportar-se de modo inidôneo ou cometer fraude de qualquer natureza;</w:t>
      </w:r>
    </w:p>
    <w:p w14:paraId="23AD94CB"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h) praticar ato lesivo previsto no </w:t>
      </w:r>
      <w:hyperlink r:id="rId52" w:anchor="art5" w:tgtFrame="_blank" w:history="1">
        <w:r w:rsidRPr="00592295">
          <w:rPr>
            <w:rFonts w:ascii="Arial" w:eastAsia="Times New Roman" w:hAnsi="Arial" w:cs="Arial"/>
            <w:color w:val="0000FF"/>
            <w:sz w:val="18"/>
            <w:szCs w:val="18"/>
            <w:u w:val="single"/>
            <w:lang w:eastAsia="pt-BR"/>
          </w:rPr>
          <w:t>art. 5º da Lei nº 12.846, de 1º de agosto de 2013</w:t>
        </w:r>
      </w:hyperlink>
      <w:r w:rsidRPr="00592295">
        <w:rPr>
          <w:rFonts w:ascii="Arial" w:eastAsia="Times New Roman" w:hAnsi="Arial" w:cs="Arial"/>
          <w:color w:val="000000"/>
          <w:sz w:val="18"/>
          <w:szCs w:val="18"/>
          <w:lang w:eastAsia="pt-BR"/>
        </w:rPr>
        <w:t>.</w:t>
      </w:r>
    </w:p>
    <w:p w14:paraId="5531E6B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 Garantida a prévia defesa, serão aplicadas ao contratado que incorrer nas infrações acima descritas as seguintes sanções:</w:t>
      </w:r>
    </w:p>
    <w:p w14:paraId="766DED4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w:t>
      </w:r>
      <w:r w:rsidRPr="00592295">
        <w:rPr>
          <w:rFonts w:ascii="Arial" w:eastAsia="Times New Roman" w:hAnsi="Arial" w:cs="Arial"/>
          <w:b/>
          <w:bCs/>
          <w:color w:val="000000"/>
          <w:sz w:val="18"/>
          <w:szCs w:val="18"/>
          <w:lang w:eastAsia="pt-BR"/>
        </w:rPr>
        <w:t>Advertência</w:t>
      </w:r>
      <w:r w:rsidRPr="00592295">
        <w:rPr>
          <w:rFonts w:ascii="Arial" w:eastAsia="Times New Roman" w:hAnsi="Arial" w:cs="Arial"/>
          <w:color w:val="000000"/>
          <w:sz w:val="18"/>
          <w:szCs w:val="18"/>
          <w:lang w:eastAsia="pt-BR"/>
        </w:rPr>
        <w:t>, se o contratado der causa à inexecução parcial do contrato, quando não se justificar a imposição de penalidade mais grave (</w:t>
      </w:r>
      <w:hyperlink r:id="rId53" w:anchor="art156%C2%A72" w:tgtFrame="_blank" w:history="1">
        <w:r w:rsidRPr="00592295">
          <w:rPr>
            <w:rFonts w:ascii="Arial" w:eastAsia="Times New Roman" w:hAnsi="Arial" w:cs="Arial"/>
            <w:color w:val="0000FF"/>
            <w:sz w:val="18"/>
            <w:szCs w:val="18"/>
            <w:u w:val="single"/>
            <w:lang w:eastAsia="pt-BR"/>
          </w:rPr>
          <w:t>art. 156, § 2º, da Lei nº 14.133, de 2021</w:t>
        </w:r>
      </w:hyperlink>
      <w:bookmarkStart w:id="19" w:name="_Hlk114504069"/>
      <w:bookmarkEnd w:id="19"/>
      <w:r w:rsidRPr="00592295">
        <w:rPr>
          <w:rFonts w:ascii="Arial" w:eastAsia="Times New Roman" w:hAnsi="Arial" w:cs="Arial"/>
          <w:color w:val="000000"/>
          <w:sz w:val="18"/>
          <w:szCs w:val="18"/>
          <w:lang w:eastAsia="pt-BR"/>
        </w:rPr>
        <w:t>);</w:t>
      </w:r>
    </w:p>
    <w:p w14:paraId="72357A7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w:t>
      </w:r>
      <w:r w:rsidRPr="00592295">
        <w:rPr>
          <w:rFonts w:ascii="Arial" w:eastAsia="Times New Roman" w:hAnsi="Arial" w:cs="Arial"/>
          <w:b/>
          <w:bCs/>
          <w:color w:val="000000"/>
          <w:sz w:val="18"/>
          <w:szCs w:val="18"/>
          <w:lang w:eastAsia="pt-BR"/>
        </w:rPr>
        <w:t>Impedimento de licitar e contratar</w:t>
      </w:r>
      <w:r w:rsidRPr="00592295">
        <w:rPr>
          <w:rFonts w:ascii="Arial" w:eastAsia="Times New Roman" w:hAnsi="Arial" w:cs="Arial"/>
          <w:color w:val="000000"/>
          <w:sz w:val="18"/>
          <w:szCs w:val="18"/>
          <w:lang w:eastAsia="pt-BR"/>
        </w:rPr>
        <w:t>, se praticadas as condutas descritas nas alíneas “b”, “c” e “d” do subitem acima desta cláusula, quando não se justificar a imposição de penalidade mais grave (</w:t>
      </w:r>
      <w:hyperlink r:id="rId54" w:anchor="art156%C2%A74" w:tgtFrame="_blank" w:history="1">
        <w:r w:rsidRPr="00592295">
          <w:rPr>
            <w:rFonts w:ascii="Arial" w:eastAsia="Times New Roman" w:hAnsi="Arial" w:cs="Arial"/>
            <w:color w:val="0000FF"/>
            <w:sz w:val="18"/>
            <w:szCs w:val="18"/>
            <w:u w:val="single"/>
            <w:lang w:eastAsia="pt-BR"/>
          </w:rPr>
          <w:t>art. 156, § 4º, da Lei nº 14.133, de 2021</w:t>
        </w:r>
      </w:hyperlink>
      <w:r w:rsidRPr="00592295">
        <w:rPr>
          <w:rFonts w:ascii="Arial" w:eastAsia="Times New Roman" w:hAnsi="Arial" w:cs="Arial"/>
          <w:color w:val="000000"/>
          <w:sz w:val="18"/>
          <w:szCs w:val="18"/>
          <w:lang w:eastAsia="pt-BR"/>
        </w:rPr>
        <w:t>);</w:t>
      </w:r>
    </w:p>
    <w:p w14:paraId="08A8ED3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w:t>
      </w:r>
      <w:r w:rsidRPr="00592295">
        <w:rPr>
          <w:rFonts w:ascii="Arial" w:eastAsia="Times New Roman" w:hAnsi="Arial" w:cs="Arial"/>
          <w:b/>
          <w:bCs/>
          <w:color w:val="000000"/>
          <w:sz w:val="18"/>
          <w:szCs w:val="18"/>
          <w:lang w:eastAsia="pt-BR"/>
        </w:rPr>
        <w:t>Declaração de inidoneidade para licitar ou contratar</w:t>
      </w:r>
      <w:r w:rsidRPr="00592295">
        <w:rPr>
          <w:rFonts w:ascii="Arial" w:eastAsia="Times New Roman" w:hAnsi="Arial" w:cs="Arial"/>
          <w:color w:val="000000"/>
          <w:sz w:val="18"/>
          <w:szCs w:val="18"/>
          <w:lang w:eastAsia="pt-BR"/>
        </w:rPr>
        <w:t>, quando praticadas as condutas descritas nas alíneas “e”, “f”, “g” e “h” do subitem acima desta cláusula, bem como nas alíneas “b”, “c” e “d” do referido subitem, que justifiquem a imposição de penalidade mais grave (</w:t>
      </w:r>
      <w:hyperlink r:id="rId55" w:anchor="art156%C2%A75" w:tgtFrame="_blank" w:history="1">
        <w:r w:rsidRPr="00592295">
          <w:rPr>
            <w:rFonts w:ascii="Arial" w:eastAsia="Times New Roman" w:hAnsi="Arial" w:cs="Arial"/>
            <w:color w:val="0000FF"/>
            <w:sz w:val="18"/>
            <w:szCs w:val="18"/>
            <w:u w:val="single"/>
            <w:lang w:eastAsia="pt-BR"/>
          </w:rPr>
          <w:t>art. 156, § 5º, da Lei nº 14.133, de 2021</w:t>
        </w:r>
      </w:hyperlink>
      <w:r w:rsidRPr="00592295">
        <w:rPr>
          <w:rFonts w:ascii="Arial" w:eastAsia="Times New Roman" w:hAnsi="Arial" w:cs="Arial"/>
          <w:color w:val="000000"/>
          <w:sz w:val="18"/>
          <w:szCs w:val="18"/>
          <w:lang w:eastAsia="pt-BR"/>
        </w:rPr>
        <w:t>).</w:t>
      </w:r>
    </w:p>
    <w:p w14:paraId="53A249A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w:t>
      </w:r>
      <w:r w:rsidRPr="00592295">
        <w:rPr>
          <w:rFonts w:ascii="Arial" w:eastAsia="Times New Roman" w:hAnsi="Arial" w:cs="Arial"/>
          <w:b/>
          <w:bCs/>
          <w:color w:val="000000"/>
          <w:sz w:val="18"/>
          <w:szCs w:val="18"/>
          <w:lang w:eastAsia="pt-BR"/>
        </w:rPr>
        <w:t>Multa:</w:t>
      </w:r>
    </w:p>
    <w:p w14:paraId="13F0554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Calculada em conformidade com a documentação que integra este instrumento, como Anexo III do Edital.</w:t>
      </w:r>
    </w:p>
    <w:p w14:paraId="060339F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11.3. A aplicação das sanções previstas neste Contrato não exclui, em hipótese alguma, a obrigação de reparação integral do dano causado ao Contratante (</w:t>
      </w:r>
      <w:hyperlink r:id="rId56" w:anchor="art156%C2%A79" w:tgtFrame="_blank" w:history="1">
        <w:r w:rsidRPr="00592295">
          <w:rPr>
            <w:rFonts w:ascii="Arial" w:eastAsia="Times New Roman" w:hAnsi="Arial" w:cs="Arial"/>
            <w:color w:val="0000FF"/>
            <w:sz w:val="18"/>
            <w:szCs w:val="18"/>
            <w:u w:val="single"/>
            <w:lang w:eastAsia="pt-BR"/>
          </w:rPr>
          <w:t>art. 156, § 9º, da Lei nº 14.133, de 2021</w:t>
        </w:r>
      </w:hyperlink>
      <w:r w:rsidRPr="00592295">
        <w:rPr>
          <w:rFonts w:ascii="Arial" w:eastAsia="Times New Roman" w:hAnsi="Arial" w:cs="Arial"/>
          <w:color w:val="000000"/>
          <w:sz w:val="18"/>
          <w:szCs w:val="18"/>
          <w:lang w:eastAsia="pt-BR"/>
        </w:rPr>
        <w:t>)</w:t>
      </w:r>
    </w:p>
    <w:p w14:paraId="44D377A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11.4. A multa poderá ser aplicada cumulativamente com as demais as sanções previstas neste Contrato (</w:t>
      </w:r>
      <w:hyperlink r:id="rId57" w:anchor="art156%C2%A77" w:tgtFrame="_blank" w:history="1">
        <w:r w:rsidRPr="00592295">
          <w:rPr>
            <w:rFonts w:ascii="Arial" w:eastAsia="Times New Roman" w:hAnsi="Arial" w:cs="Arial"/>
            <w:color w:val="0000FF"/>
            <w:sz w:val="18"/>
            <w:szCs w:val="18"/>
            <w:u w:val="single"/>
            <w:lang w:eastAsia="pt-BR"/>
          </w:rPr>
          <w:t>art. 156, § 7º, da Lei nº 14.133, de 2021</w:t>
        </w:r>
      </w:hyperlink>
      <w:r w:rsidRPr="00592295">
        <w:rPr>
          <w:rFonts w:ascii="Arial" w:eastAsia="Times New Roman" w:hAnsi="Arial" w:cs="Arial"/>
          <w:color w:val="000000"/>
          <w:sz w:val="18"/>
          <w:szCs w:val="18"/>
          <w:lang w:eastAsia="pt-BR"/>
        </w:rPr>
        <w:t>).</w:t>
      </w:r>
    </w:p>
    <w:p w14:paraId="7FA2CB2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11.4.1. Antes da aplicação da multa será facultada a defesa do interessado no prazo de 15 (quinze) dias úteis, contado da data de sua intimação (</w:t>
      </w:r>
      <w:hyperlink r:id="rId58" w:anchor="art157" w:tgtFrame="_blank" w:history="1">
        <w:r w:rsidRPr="00592295">
          <w:rPr>
            <w:rFonts w:ascii="Arial" w:eastAsia="Times New Roman" w:hAnsi="Arial" w:cs="Arial"/>
            <w:color w:val="0000FF"/>
            <w:sz w:val="18"/>
            <w:szCs w:val="18"/>
            <w:u w:val="single"/>
            <w:lang w:eastAsia="pt-BR"/>
          </w:rPr>
          <w:t>art. 157, da Lei nº 14.133, de 2021</w:t>
        </w:r>
      </w:hyperlink>
      <w:r w:rsidRPr="00592295">
        <w:rPr>
          <w:rFonts w:ascii="Arial" w:eastAsia="Times New Roman" w:hAnsi="Arial" w:cs="Arial"/>
          <w:color w:val="000000"/>
          <w:sz w:val="18"/>
          <w:szCs w:val="18"/>
          <w:lang w:eastAsia="pt-BR"/>
        </w:rPr>
        <w:t>)</w:t>
      </w:r>
    </w:p>
    <w:p w14:paraId="2357ECC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11.4.2. Se a multa aplicada e as indenizações cabíveis forem superiores ao valor do pagamento eventualmente devido pelo Contratante ao Contratado, além da perda desse valor, a diferença será descontada da garantia prestada, caso exigida na documentação que integra este instrumento, ou, quando for o caso, será cobrada judicialmente (</w:t>
      </w:r>
      <w:hyperlink r:id="rId59" w:anchor="art156%C2%A78" w:tgtFrame="_blank" w:history="1">
        <w:r w:rsidRPr="00592295">
          <w:rPr>
            <w:rFonts w:ascii="Arial" w:eastAsia="Times New Roman" w:hAnsi="Arial" w:cs="Arial"/>
            <w:color w:val="0000FF"/>
            <w:sz w:val="18"/>
            <w:szCs w:val="18"/>
            <w:u w:val="single"/>
            <w:lang w:eastAsia="pt-BR"/>
          </w:rPr>
          <w:t>art. 156, § 8º, da Lei nº 14.133, de 2021</w:t>
        </w:r>
      </w:hyperlink>
      <w:r w:rsidRPr="00592295">
        <w:rPr>
          <w:rFonts w:ascii="Arial" w:eastAsia="Times New Roman" w:hAnsi="Arial" w:cs="Arial"/>
          <w:color w:val="000000"/>
          <w:sz w:val="18"/>
          <w:szCs w:val="18"/>
          <w:lang w:eastAsia="pt-BR"/>
        </w:rPr>
        <w:t>).</w:t>
      </w:r>
      <w:bookmarkStart w:id="20" w:name="_Hlk78351618"/>
      <w:bookmarkEnd w:id="20"/>
    </w:p>
    <w:p w14:paraId="7F22AFC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 A aplicação das sanções realizar-se-á em processo administrativo que assegure o contraditório e a ampla defesa ao Contratado, observando-se o procedimento previsto no </w:t>
      </w:r>
      <w:r w:rsidRPr="00592295">
        <w:rPr>
          <w:rFonts w:ascii="Arial" w:eastAsia="Times New Roman" w:hAnsi="Arial" w:cs="Arial"/>
          <w:i/>
          <w:iCs/>
          <w:color w:val="000000"/>
          <w:sz w:val="18"/>
          <w:szCs w:val="18"/>
          <w:lang w:eastAsia="pt-BR"/>
        </w:rPr>
        <w:t>caput</w:t>
      </w:r>
      <w:r w:rsidRPr="00592295">
        <w:rPr>
          <w:rFonts w:ascii="Arial" w:eastAsia="Times New Roman" w:hAnsi="Arial" w:cs="Arial"/>
          <w:b/>
          <w:bCs/>
          <w:color w:val="000000"/>
          <w:sz w:val="18"/>
          <w:szCs w:val="18"/>
          <w:lang w:eastAsia="pt-BR"/>
        </w:rPr>
        <w:t> </w:t>
      </w:r>
      <w:r w:rsidRPr="00592295">
        <w:rPr>
          <w:rFonts w:ascii="Arial" w:eastAsia="Times New Roman" w:hAnsi="Arial" w:cs="Arial"/>
          <w:color w:val="000000"/>
          <w:sz w:val="18"/>
          <w:szCs w:val="18"/>
          <w:lang w:eastAsia="pt-BR"/>
        </w:rPr>
        <w:t>e parágrafos do </w:t>
      </w:r>
      <w:hyperlink r:id="rId60" w:anchor="art158" w:tgtFrame="_blank" w:history="1">
        <w:r w:rsidRPr="00592295">
          <w:rPr>
            <w:rFonts w:ascii="Arial" w:eastAsia="Times New Roman" w:hAnsi="Arial" w:cs="Arial"/>
            <w:color w:val="0000FF"/>
            <w:sz w:val="18"/>
            <w:szCs w:val="18"/>
            <w:u w:val="single"/>
            <w:lang w:eastAsia="pt-BR"/>
          </w:rPr>
          <w:t>art. 158 da Lei nº 14.133, de 2021</w:t>
        </w:r>
      </w:hyperlink>
      <w:r w:rsidRPr="00592295">
        <w:rPr>
          <w:rFonts w:ascii="Arial" w:eastAsia="Times New Roman" w:hAnsi="Arial" w:cs="Arial"/>
          <w:color w:val="000000"/>
          <w:sz w:val="18"/>
          <w:szCs w:val="18"/>
          <w:lang w:eastAsia="pt-BR"/>
        </w:rPr>
        <w:t>, para as penalidades de impedimento de licitar e contratar e de declaração de inidoneidade para licitar ou contratar.</w:t>
      </w:r>
    </w:p>
    <w:p w14:paraId="70BF702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11.6. Na aplicação das sanções serão considerados (</w:t>
      </w:r>
      <w:hyperlink r:id="rId61" w:anchor="art156%C2%A71" w:tgtFrame="_blank" w:history="1">
        <w:r w:rsidRPr="00592295">
          <w:rPr>
            <w:rFonts w:ascii="Arial" w:eastAsia="Times New Roman" w:hAnsi="Arial" w:cs="Arial"/>
            <w:color w:val="0000FF"/>
            <w:sz w:val="18"/>
            <w:szCs w:val="18"/>
            <w:u w:val="single"/>
            <w:lang w:eastAsia="pt-BR"/>
          </w:rPr>
          <w:t>art. 156, § 1º, da Lei nº 14.133, de 2021</w:t>
        </w:r>
      </w:hyperlink>
      <w:r w:rsidRPr="00592295">
        <w:rPr>
          <w:rFonts w:ascii="Arial" w:eastAsia="Times New Roman" w:hAnsi="Arial" w:cs="Arial"/>
          <w:color w:val="000000"/>
          <w:sz w:val="18"/>
          <w:szCs w:val="18"/>
          <w:lang w:eastAsia="pt-BR"/>
        </w:rPr>
        <w:t>):</w:t>
      </w:r>
    </w:p>
    <w:p w14:paraId="7B3EDEA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 natureza e a gravidade da infração cometida;</w:t>
      </w:r>
    </w:p>
    <w:p w14:paraId="35F1E14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as peculiaridades do caso concreto;</w:t>
      </w:r>
    </w:p>
    <w:p w14:paraId="1B5C247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as circunstâncias agravantes ou atenuantes;</w:t>
      </w:r>
    </w:p>
    <w:p w14:paraId="38EF50C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 os danos que dela provierem para o Contratante;</w:t>
      </w:r>
    </w:p>
    <w:p w14:paraId="4FFBC06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 a implantação ou o aperfeiçoamento de programa de integridade, conforme normas e orientações dos órgãos de controle.</w:t>
      </w:r>
    </w:p>
    <w:p w14:paraId="081234C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11.7. As sanções são autônomas e a aplicação de uma não exclui a de outra.</w:t>
      </w:r>
    </w:p>
    <w:p w14:paraId="3D7E55B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11.8. Os atos previstos como infrações administrativas na </w:t>
      </w:r>
      <w:hyperlink r:id="rId62"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ou em outras leis de licitações e contratos da Administração Pública que também sejam tipificados como atos lesivos na </w:t>
      </w:r>
      <w:hyperlink r:id="rId63" w:tgtFrame="_blank" w:history="1">
        <w:r w:rsidRPr="00592295">
          <w:rPr>
            <w:rFonts w:ascii="Arial" w:eastAsia="Times New Roman" w:hAnsi="Arial" w:cs="Arial"/>
            <w:color w:val="0000FF"/>
            <w:sz w:val="18"/>
            <w:szCs w:val="18"/>
            <w:u w:val="single"/>
            <w:lang w:eastAsia="pt-BR"/>
          </w:rPr>
          <w:t>Lei nº 12.846, de 2013</w:t>
        </w:r>
      </w:hyperlink>
      <w:r w:rsidRPr="00592295">
        <w:rPr>
          <w:rFonts w:ascii="Arial" w:eastAsia="Times New Roman" w:hAnsi="Arial" w:cs="Arial"/>
          <w:color w:val="000000"/>
          <w:sz w:val="18"/>
          <w:szCs w:val="18"/>
          <w:lang w:eastAsia="pt-BR"/>
        </w:rPr>
        <w:t>, serão apurados e julgados conjuntamente, nos mesmos autos, observados o rito procedimental e autoridade competente definidos na referida Lei (</w:t>
      </w:r>
      <w:hyperlink r:id="rId64" w:tgtFrame="_blank" w:history="1">
        <w:r w:rsidRPr="00592295">
          <w:rPr>
            <w:rFonts w:ascii="Arial" w:eastAsia="Times New Roman" w:hAnsi="Arial" w:cs="Arial"/>
            <w:color w:val="0000FF"/>
            <w:sz w:val="18"/>
            <w:szCs w:val="18"/>
            <w:u w:val="single"/>
            <w:lang w:eastAsia="pt-BR"/>
          </w:rPr>
          <w:t>art. 159</w:t>
        </w:r>
      </w:hyperlink>
      <w:r w:rsidRPr="00592295">
        <w:rPr>
          <w:rFonts w:ascii="Arial" w:eastAsia="Times New Roman" w:hAnsi="Arial" w:cs="Arial"/>
          <w:color w:val="000000"/>
          <w:sz w:val="18"/>
          <w:szCs w:val="18"/>
          <w:u w:val="single"/>
          <w:lang w:eastAsia="pt-BR"/>
        </w:rPr>
        <w:t> da Lei nº 14.133, de 2021</w:t>
      </w:r>
      <w:r w:rsidRPr="00592295">
        <w:rPr>
          <w:rFonts w:ascii="Arial" w:eastAsia="Times New Roman" w:hAnsi="Arial" w:cs="Arial"/>
          <w:color w:val="000000"/>
          <w:sz w:val="18"/>
          <w:szCs w:val="18"/>
          <w:lang w:eastAsia="pt-BR"/>
        </w:rPr>
        <w:t>).</w:t>
      </w:r>
    </w:p>
    <w:p w14:paraId="32ABD8A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11.9. A personalidade jurídica do Contratado poderá ser desconsiderada sempre que utilizada com abuso do direito para facilitar, encobrir ou dissimular a prática dos atos ilícitos previstos na Lei nº 14.133, de 2021,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w:t>
      </w:r>
      <w:hyperlink r:id="rId65" w:anchor="art160" w:tgtFrame="_blank" w:history="1">
        <w:r w:rsidRPr="00592295">
          <w:rPr>
            <w:rFonts w:ascii="Arial" w:eastAsia="Times New Roman" w:hAnsi="Arial" w:cs="Arial"/>
            <w:color w:val="0000FF"/>
            <w:sz w:val="18"/>
            <w:szCs w:val="18"/>
            <w:u w:val="single"/>
            <w:lang w:eastAsia="pt-BR"/>
          </w:rPr>
          <w:t>art. 160 da Lei nº 14.133, de 2021</w:t>
        </w:r>
      </w:hyperlink>
      <w:r w:rsidRPr="00592295">
        <w:rPr>
          <w:rFonts w:ascii="Arial" w:eastAsia="Times New Roman" w:hAnsi="Arial" w:cs="Arial"/>
          <w:color w:val="000000"/>
          <w:sz w:val="18"/>
          <w:szCs w:val="18"/>
          <w:lang w:eastAsia="pt-BR"/>
        </w:rPr>
        <w:t>).</w:t>
      </w:r>
    </w:p>
    <w:p w14:paraId="05A4345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11.10. O Contratante deverá, no prazo máximo de 15 (quinze) dias úteis, contado da data de aplicação da sanção, informar e manter atualizados os dados relativos às sanções por ele aplicadas, para fins de publicidade no Cadastro Nacional de Empresas Inidôneas e Suspensas (Ceis) e no Cadastro Nacional de Empresas Punidas (Cnep), instituídos no âmbito do Poder Executivo Federal. (</w:t>
      </w:r>
      <w:hyperlink r:id="rId66" w:anchor="art161" w:tgtFrame="_blank" w:history="1">
        <w:r w:rsidRPr="00592295">
          <w:rPr>
            <w:rFonts w:ascii="Arial" w:eastAsia="Times New Roman" w:hAnsi="Arial" w:cs="Arial"/>
            <w:color w:val="0000FF"/>
            <w:sz w:val="18"/>
            <w:szCs w:val="18"/>
            <w:u w:val="single"/>
            <w:lang w:eastAsia="pt-BR"/>
          </w:rPr>
          <w:t>Art. 161 da Lei nº 14.133, de 2021</w:t>
        </w:r>
      </w:hyperlink>
      <w:r w:rsidRPr="00592295">
        <w:rPr>
          <w:rFonts w:ascii="Arial" w:eastAsia="Times New Roman" w:hAnsi="Arial" w:cs="Arial"/>
          <w:color w:val="000000"/>
          <w:sz w:val="18"/>
          <w:szCs w:val="18"/>
          <w:lang w:eastAsia="pt-BR"/>
        </w:rPr>
        <w:t>).</w:t>
      </w:r>
    </w:p>
    <w:p w14:paraId="0779097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11.11. As sanções de impedimento de licitar e contratar e declaração de inidoneidade para licitar ou contratar são passíveis de reabilitação na forma do </w:t>
      </w:r>
      <w:hyperlink r:id="rId67" w:anchor="163" w:tgtFrame="_blank" w:history="1">
        <w:r w:rsidRPr="00592295">
          <w:rPr>
            <w:rFonts w:ascii="Arial" w:eastAsia="Times New Roman" w:hAnsi="Arial" w:cs="Arial"/>
            <w:color w:val="0000FF"/>
            <w:sz w:val="18"/>
            <w:szCs w:val="18"/>
            <w:u w:val="single"/>
            <w:lang w:eastAsia="pt-BR"/>
          </w:rPr>
          <w:t>art. 163 da Lei nº 14.133, de 2021</w:t>
        </w:r>
      </w:hyperlink>
      <w:r w:rsidRPr="00592295">
        <w:rPr>
          <w:rFonts w:ascii="Arial" w:eastAsia="Times New Roman" w:hAnsi="Arial" w:cs="Arial"/>
          <w:color w:val="000000"/>
          <w:sz w:val="18"/>
          <w:szCs w:val="18"/>
          <w:lang w:eastAsia="pt-BR"/>
        </w:rPr>
        <w:t>.</w:t>
      </w:r>
    </w:p>
    <w:p w14:paraId="496CA026" w14:textId="77777777"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6748B90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SEGUNDA– DA EXTINÇÃO CONTRATUAL (</w:t>
      </w:r>
      <w:hyperlink r:id="rId68" w:anchor="art92" w:tgtFrame="_blank" w:history="1">
        <w:r w:rsidRPr="00592295">
          <w:rPr>
            <w:rFonts w:ascii="Arial" w:eastAsia="Times New Roman" w:hAnsi="Arial" w:cs="Arial"/>
            <w:b/>
            <w:bCs/>
            <w:color w:val="0000FF"/>
            <w:sz w:val="18"/>
            <w:szCs w:val="18"/>
            <w:u w:val="single"/>
            <w:lang w:eastAsia="pt-BR"/>
          </w:rPr>
          <w:t>art. 92, XIX</w:t>
        </w:r>
      </w:hyperlink>
      <w:r w:rsidRPr="00592295">
        <w:rPr>
          <w:rFonts w:ascii="Arial" w:eastAsia="Times New Roman" w:hAnsi="Arial" w:cs="Arial"/>
          <w:b/>
          <w:bCs/>
          <w:color w:val="000000"/>
          <w:sz w:val="18"/>
          <w:szCs w:val="18"/>
          <w:lang w:eastAsia="pt-BR"/>
        </w:rPr>
        <w:t>)</w:t>
      </w:r>
    </w:p>
    <w:p w14:paraId="6BF0337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 O contrato poderá ser extinto na forma, pelos motivos e com as consequências previstos nos </w:t>
      </w:r>
      <w:hyperlink r:id="rId69" w:anchor="art137" w:tgtFrame="_blank" w:history="1">
        <w:r w:rsidRPr="00592295">
          <w:rPr>
            <w:rFonts w:ascii="Arial" w:eastAsia="Times New Roman" w:hAnsi="Arial" w:cs="Arial"/>
            <w:color w:val="0000FF"/>
            <w:sz w:val="18"/>
            <w:szCs w:val="18"/>
            <w:u w:val="single"/>
            <w:lang w:eastAsia="pt-BR"/>
          </w:rPr>
          <w:t>artigos 137 a 139 e 155 a 163 da Lei nº 14.133, de 2021</w:t>
        </w:r>
      </w:hyperlink>
      <w:r w:rsidRPr="00592295">
        <w:rPr>
          <w:rFonts w:ascii="Arial" w:eastAsia="Times New Roman" w:hAnsi="Arial" w:cs="Arial"/>
          <w:color w:val="000000"/>
          <w:sz w:val="18"/>
          <w:szCs w:val="18"/>
          <w:lang w:eastAsia="pt-BR"/>
        </w:rPr>
        <w:t>.</w:t>
      </w:r>
    </w:p>
    <w:p w14:paraId="78F32CD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12.1.1. O Contratado reconhece desde já os direitos do Contratante nos casos de extinção por ato unilateral da Administração, prevista no artigo 138 da Lei nº 14.133, de 2021.</w:t>
      </w:r>
    </w:p>
    <w:p w14:paraId="240C921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12.1.2. O contrato poderá ser extinto por algum dos motivos previstos no artigo 137 da Lei nº 14.133, de 2021, devendo a extinção ser formalmente motivada nos autos do processo, assegurados o contraditório e a ampla defesa.</w:t>
      </w:r>
    </w:p>
    <w:p w14:paraId="114E6A8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12.1.3. A alteração social ou modificação da finalidade ou da estrutura da empresa não ensejará a extinção contratual se não restringir sua capacidade de concluir o contrato.</w:t>
      </w:r>
    </w:p>
    <w:p w14:paraId="0859B0E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12.1.3.1. Se a operação societária de que trata este subitem implicar mudança em pessoa jurídica contratada, deverá ser formalizada alteração subjetiva por termo aditivo.</w:t>
      </w:r>
    </w:p>
    <w:p w14:paraId="73E3A0E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 O termo de extinção, sempre que possível, será precedido da indicação de:</w:t>
      </w:r>
    </w:p>
    <w:p w14:paraId="7EA0666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12.2.1. Balanço dos eventos contratuais já cumpridos ou parcialmente cumpridos;</w:t>
      </w:r>
    </w:p>
    <w:p w14:paraId="6A84745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12.2.2. Relação dos pagamentos já efetuados e ainda devidos;</w:t>
      </w:r>
    </w:p>
    <w:p w14:paraId="7671585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12.2.3. Indenizações e multas.</w:t>
      </w:r>
    </w:p>
    <w:p w14:paraId="75562CA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 A extinção do contrato não configura óbice para o reconhecimento de eventual desequilíbrio econômico-financeiro, hipótese em que será concedida indenização por meio de termo indenizatório (</w:t>
      </w:r>
      <w:hyperlink r:id="rId70" w:anchor="art131" w:tgtFrame="_blank" w:history="1">
        <w:r w:rsidRPr="00592295">
          <w:rPr>
            <w:rFonts w:ascii="Arial" w:eastAsia="Times New Roman" w:hAnsi="Arial" w:cs="Arial"/>
            <w:color w:val="0000FF"/>
            <w:sz w:val="18"/>
            <w:szCs w:val="18"/>
            <w:u w:val="single"/>
            <w:lang w:eastAsia="pt-BR"/>
          </w:rPr>
          <w:t>art. 131, </w:t>
        </w:r>
        <w:r w:rsidRPr="00592295">
          <w:rPr>
            <w:rFonts w:ascii="Arial" w:eastAsia="Times New Roman" w:hAnsi="Arial" w:cs="Arial"/>
            <w:i/>
            <w:iCs/>
            <w:color w:val="0000FF"/>
            <w:sz w:val="18"/>
            <w:szCs w:val="18"/>
            <w:u w:val="single"/>
            <w:lang w:eastAsia="pt-BR"/>
          </w:rPr>
          <w:t>caput, </w:t>
        </w:r>
        <w:r w:rsidRPr="00592295">
          <w:rPr>
            <w:rFonts w:ascii="Arial" w:eastAsia="Times New Roman" w:hAnsi="Arial" w:cs="Arial"/>
            <w:color w:val="0000FF"/>
            <w:sz w:val="18"/>
            <w:szCs w:val="18"/>
            <w:u w:val="single"/>
            <w:lang w:eastAsia="pt-BR"/>
          </w:rPr>
          <w:t>da Lei n.º 14.133, de 2021</w:t>
        </w:r>
      </w:hyperlink>
      <w:r w:rsidRPr="00592295">
        <w:rPr>
          <w:rFonts w:ascii="Arial" w:eastAsia="Times New Roman" w:hAnsi="Arial" w:cs="Arial"/>
          <w:color w:val="000000"/>
          <w:sz w:val="18"/>
          <w:szCs w:val="18"/>
          <w:lang w:eastAsia="pt-BR"/>
        </w:rPr>
        <w:t>).</w:t>
      </w:r>
    </w:p>
    <w:p w14:paraId="05FB43F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12.4. Se for constatada irregularidade no procedimento licitatório ou na execução contratual, caso não seja possível o saneamento, a decisão pelo Contratante sobre a suspensão da execução ou sobre a declaração de nulidade do contrato somente será adotada na hipótese em que se revelar medida de interesse público, observado o disposto nos artigos 147 a 149 da Lei nº 14.133, de 2021, conferindo-se ao Contratado oportunidade para prévia manifestação e participação na instrução.</w:t>
      </w:r>
    </w:p>
    <w:p w14:paraId="136AC049"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015F5F6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TERCEIRA – DOTAÇÃO ORÇAMENTÁRIA (</w:t>
      </w:r>
      <w:hyperlink r:id="rId71" w:anchor="art92" w:tgtFrame="_blank" w:history="1">
        <w:r w:rsidRPr="00592295">
          <w:rPr>
            <w:rFonts w:ascii="Arial" w:eastAsia="Times New Roman" w:hAnsi="Arial" w:cs="Arial"/>
            <w:b/>
            <w:bCs/>
            <w:color w:val="0000FF"/>
            <w:sz w:val="18"/>
            <w:szCs w:val="18"/>
            <w:u w:val="single"/>
            <w:lang w:eastAsia="pt-BR"/>
          </w:rPr>
          <w:t>art. 92, VIII</w:t>
        </w:r>
      </w:hyperlink>
      <w:r w:rsidRPr="00592295">
        <w:rPr>
          <w:rFonts w:ascii="Arial" w:eastAsia="Times New Roman" w:hAnsi="Arial" w:cs="Arial"/>
          <w:b/>
          <w:bCs/>
          <w:color w:val="000000"/>
          <w:sz w:val="18"/>
          <w:szCs w:val="18"/>
          <w:lang w:eastAsia="pt-BR"/>
        </w:rPr>
        <w:t>)</w:t>
      </w:r>
    </w:p>
    <w:p w14:paraId="42DCA73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 No presente exercício, as despesas decorrentes desta contratação correrão à conta de recursos específicos consignados no respectivo Orçamento do Estado, na dotação abaixo discriminada:</w:t>
      </w:r>
    </w:p>
    <w:p w14:paraId="260717C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13.1.1. Gestão/Unidade: 092301;</w:t>
      </w:r>
    </w:p>
    <w:p w14:paraId="792756A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13.1.2. Fonte de Recursos: 165.910.001;</w:t>
      </w:r>
    </w:p>
    <w:p w14:paraId="7535059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13.1.3. Programa de Trabalho: PTRES 095715;</w:t>
      </w:r>
    </w:p>
    <w:p w14:paraId="0E24242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13.1.4. Elemento de Despesa: 33903030</w:t>
      </w:r>
    </w:p>
    <w:p w14:paraId="1B8B01B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13.1.5. Plano Interno: ---</w:t>
      </w:r>
    </w:p>
    <w:p w14:paraId="3ECCDF3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13.1.6. Nota de Empenho:</w:t>
      </w:r>
    </w:p>
    <w:p w14:paraId="549CC4E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13.2. Quando a execução do contrato ultrapassar o presente exercício, a dotação relativa ao(s) exercício(s) financeiro(s) subsequente(s) será indicada após aprovação da Lei Orçamentária respectiva e liberação dos créditos correspondentes, mediante apostilamento.</w:t>
      </w:r>
    </w:p>
    <w:p w14:paraId="1D3AD66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753F998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QUARTA – DOS CASOS OMISSOS (</w:t>
      </w:r>
      <w:hyperlink r:id="rId72" w:anchor="art92" w:tgtFrame="_blank" w:history="1">
        <w:r w:rsidRPr="00592295">
          <w:rPr>
            <w:rFonts w:ascii="Arial" w:eastAsia="Times New Roman" w:hAnsi="Arial" w:cs="Arial"/>
            <w:b/>
            <w:bCs/>
            <w:color w:val="0000FF"/>
            <w:sz w:val="18"/>
            <w:szCs w:val="18"/>
            <w:u w:val="single"/>
            <w:lang w:eastAsia="pt-BR"/>
          </w:rPr>
          <w:t>art. 92, III</w:t>
        </w:r>
      </w:hyperlink>
      <w:r w:rsidRPr="00592295">
        <w:rPr>
          <w:rFonts w:ascii="Arial" w:eastAsia="Times New Roman" w:hAnsi="Arial" w:cs="Arial"/>
          <w:b/>
          <w:bCs/>
          <w:color w:val="000000"/>
          <w:sz w:val="18"/>
          <w:szCs w:val="18"/>
          <w:lang w:eastAsia="pt-BR"/>
        </w:rPr>
        <w:t>)</w:t>
      </w:r>
    </w:p>
    <w:p w14:paraId="23F2FDF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 Aplicam-se aos casos omissos as disposições contidas na Lei </w:t>
      </w:r>
      <w:hyperlink r:id="rId73" w:tgtFrame="_blank" w:history="1">
        <w:r w:rsidRPr="00592295">
          <w:rPr>
            <w:rFonts w:ascii="Arial" w:eastAsia="Times New Roman" w:hAnsi="Arial" w:cs="Arial"/>
            <w:color w:val="0000FF"/>
            <w:sz w:val="18"/>
            <w:szCs w:val="18"/>
            <w:u w:val="single"/>
            <w:lang w:eastAsia="pt-BR"/>
          </w:rPr>
          <w:t>nº 14.133, de 2021</w:t>
        </w:r>
      </w:hyperlink>
      <w:r w:rsidRPr="00592295">
        <w:rPr>
          <w:rFonts w:ascii="Arial" w:eastAsia="Times New Roman" w:hAnsi="Arial" w:cs="Arial"/>
          <w:color w:val="000000"/>
          <w:sz w:val="18"/>
          <w:szCs w:val="18"/>
          <w:u w:val="single"/>
          <w:lang w:eastAsia="pt-BR"/>
        </w:rPr>
        <w:t> e disposições regulamentares pertinentes</w:t>
      </w:r>
      <w:r w:rsidRPr="00592295">
        <w:rPr>
          <w:rFonts w:ascii="Arial" w:eastAsia="Times New Roman" w:hAnsi="Arial" w:cs="Arial"/>
          <w:color w:val="000000"/>
          <w:sz w:val="18"/>
          <w:szCs w:val="18"/>
          <w:lang w:eastAsia="pt-BR"/>
        </w:rPr>
        <w:t>, e, subsidiariamente, as disposições contidas na </w:t>
      </w:r>
      <w:hyperlink r:id="rId74" w:tgtFrame="_blank" w:history="1">
        <w:r w:rsidRPr="00592295">
          <w:rPr>
            <w:rFonts w:ascii="Arial" w:eastAsia="Times New Roman" w:hAnsi="Arial" w:cs="Arial"/>
            <w:color w:val="0000FF"/>
            <w:sz w:val="18"/>
            <w:szCs w:val="18"/>
            <w:u w:val="single"/>
            <w:lang w:eastAsia="pt-BR"/>
          </w:rPr>
          <w:t>Lei nº 8.078, de 1990 – Código de Defesa do Consumidor</w:t>
        </w:r>
      </w:hyperlink>
      <w:r w:rsidRPr="00592295">
        <w:rPr>
          <w:rFonts w:ascii="Arial" w:eastAsia="Times New Roman" w:hAnsi="Arial" w:cs="Arial"/>
          <w:color w:val="000000"/>
          <w:sz w:val="18"/>
          <w:szCs w:val="18"/>
          <w:lang w:eastAsia="pt-BR"/>
        </w:rPr>
        <w:t> e princípios gerais dos contratos.</w:t>
      </w:r>
    </w:p>
    <w:p w14:paraId="3C0669E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5D1A06C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QUINTA – ALTERAÇÕES</w:t>
      </w:r>
    </w:p>
    <w:p w14:paraId="4A82F92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15.1. Eventuais alterações contratuais reger-se-ão pela disciplina dos </w:t>
      </w:r>
      <w:hyperlink r:id="rId75" w:anchor="art124" w:tgtFrame="_blank" w:history="1">
        <w:r w:rsidRPr="00592295">
          <w:rPr>
            <w:rFonts w:ascii="Arial" w:eastAsia="Times New Roman" w:hAnsi="Arial" w:cs="Arial"/>
            <w:color w:val="0000FF"/>
            <w:sz w:val="18"/>
            <w:szCs w:val="18"/>
            <w:u w:val="single"/>
            <w:lang w:eastAsia="pt-BR"/>
          </w:rPr>
          <w:t>arts. 124 e seguintes da Lei nº 14.133, de 2021</w:t>
        </w:r>
      </w:hyperlink>
      <w:r w:rsidRPr="00592295">
        <w:rPr>
          <w:rFonts w:ascii="Arial" w:eastAsia="Times New Roman" w:hAnsi="Arial" w:cs="Arial"/>
          <w:color w:val="000000"/>
          <w:sz w:val="18"/>
          <w:szCs w:val="18"/>
          <w:lang w:eastAsia="pt-BR"/>
        </w:rPr>
        <w:t>.</w:t>
      </w:r>
    </w:p>
    <w:p w14:paraId="1D9D267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15.2. O contratado é obrigado a aceitar, nas mesmas condições contratuais, os acréscimos ou supressões que se fizerem necessários no objeto, a critério exclusivo do contratante, até o limite de 25% (vinte e cinco por cento) do valor inicial atualizado do contrato.</w:t>
      </w:r>
    </w:p>
    <w:p w14:paraId="30DA2A4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15.3. Eventuais alterações contratuais deverão ser promovidas mediante celebração de termo aditivo, respeitadas as disposições da Lei nº 14.133, de 2021, admitindo-se que, nos casos de justificada necessidade de antecipação de seus efeitos, a formalização do aditivo ocorra no prazo máximo de 1 (um) mês (art. 132 da Lei nº 14.133, de 2021).</w:t>
      </w:r>
    </w:p>
    <w:p w14:paraId="3C95C23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15.4. Caso haja alteração unilateral do contrato que aumente ou diminua os encargos do contratado, o equilíbrio econômico-financeiro inicial será restabelecido no mesmo termo aditivo.</w:t>
      </w:r>
    </w:p>
    <w:p w14:paraId="58485D3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15.5. Registros que não caracterizam alteração do contrato podem ser realizados por simples apostila, dispensada a celebração de termo aditivo, na forma do </w:t>
      </w:r>
      <w:hyperlink r:id="rId76" w:anchor="art136" w:tgtFrame="_blank" w:history="1">
        <w:r w:rsidRPr="00592295">
          <w:rPr>
            <w:rFonts w:ascii="Arial" w:eastAsia="Times New Roman" w:hAnsi="Arial" w:cs="Arial"/>
            <w:color w:val="0000FF"/>
            <w:sz w:val="18"/>
            <w:szCs w:val="18"/>
            <w:u w:val="single"/>
            <w:lang w:eastAsia="pt-BR"/>
          </w:rPr>
          <w:t>art. 136 da Lei nº 14.133, de 2021</w:t>
        </w:r>
      </w:hyperlink>
      <w:r w:rsidRPr="00592295">
        <w:rPr>
          <w:rFonts w:ascii="Arial" w:eastAsia="Times New Roman" w:hAnsi="Arial" w:cs="Arial"/>
          <w:color w:val="000000"/>
          <w:sz w:val="18"/>
          <w:szCs w:val="18"/>
          <w:lang w:eastAsia="pt-BR"/>
        </w:rPr>
        <w:t>.</w:t>
      </w:r>
    </w:p>
    <w:p w14:paraId="6B2D11B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3B0EB58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SEXTA – PUBLICAÇÃO</w:t>
      </w:r>
    </w:p>
    <w:p w14:paraId="3E56366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16.1. Incumbirá ao contratante divulgar o presente instrumento no Portal Nacional de Contratações Públicas (PNCP), na forma prevista no </w:t>
      </w:r>
      <w:hyperlink r:id="rId77" w:anchor="art94" w:tgtFrame="_blank" w:history="1">
        <w:r w:rsidRPr="00592295">
          <w:rPr>
            <w:rFonts w:ascii="Arial" w:eastAsia="Times New Roman" w:hAnsi="Arial" w:cs="Arial"/>
            <w:color w:val="0000FF"/>
            <w:sz w:val="18"/>
            <w:szCs w:val="18"/>
            <w:u w:val="single"/>
            <w:lang w:eastAsia="pt-BR"/>
          </w:rPr>
          <w:t>art. 94 da Lei 14.133, de 2021</w:t>
        </w:r>
      </w:hyperlink>
      <w:r w:rsidRPr="00592295">
        <w:rPr>
          <w:rFonts w:ascii="Arial" w:eastAsia="Times New Roman" w:hAnsi="Arial" w:cs="Arial"/>
          <w:color w:val="000000"/>
          <w:sz w:val="18"/>
          <w:szCs w:val="18"/>
          <w:lang w:eastAsia="pt-BR"/>
        </w:rPr>
        <w:t>, bem como no respectivo sítio oficial na Internet, em atenção ao art. 91, </w:t>
      </w:r>
      <w:r w:rsidRPr="00592295">
        <w:rPr>
          <w:rFonts w:ascii="Arial" w:eastAsia="Times New Roman" w:hAnsi="Arial" w:cs="Arial"/>
          <w:i/>
          <w:iCs/>
          <w:color w:val="000000"/>
          <w:sz w:val="18"/>
          <w:szCs w:val="18"/>
          <w:lang w:eastAsia="pt-BR"/>
        </w:rPr>
        <w:t>caput,</w:t>
      </w:r>
      <w:r w:rsidRPr="00592295">
        <w:rPr>
          <w:rFonts w:ascii="Arial" w:eastAsia="Times New Roman" w:hAnsi="Arial" w:cs="Arial"/>
          <w:color w:val="000000"/>
          <w:sz w:val="18"/>
          <w:szCs w:val="18"/>
          <w:lang w:eastAsia="pt-BR"/>
        </w:rPr>
        <w:t> da Lei n.º 14.133, de 2021, e ao </w:t>
      </w:r>
      <w:hyperlink r:id="rId78" w:anchor="art8%C2%A72" w:tgtFrame="_blank" w:history="1">
        <w:r w:rsidRPr="00592295">
          <w:rPr>
            <w:rFonts w:ascii="Arial" w:eastAsia="Times New Roman" w:hAnsi="Arial" w:cs="Arial"/>
            <w:color w:val="0000FF"/>
            <w:sz w:val="18"/>
            <w:szCs w:val="18"/>
            <w:u w:val="single"/>
            <w:lang w:eastAsia="pt-BR"/>
          </w:rPr>
          <w:t>art. 8º, § 2º, da Lei n. 12.527, de 2011</w:t>
        </w:r>
      </w:hyperlink>
      <w:r w:rsidRPr="00592295">
        <w:rPr>
          <w:rFonts w:ascii="Arial" w:eastAsia="Times New Roman" w:hAnsi="Arial" w:cs="Arial"/>
          <w:color w:val="000000"/>
          <w:sz w:val="18"/>
          <w:szCs w:val="18"/>
          <w:lang w:eastAsia="pt-BR"/>
        </w:rPr>
        <w:t>, c/c art. 22 do Decreto estadual nº 68.155, de 2023.</w:t>
      </w:r>
    </w:p>
    <w:p w14:paraId="0C7323FB"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38381DF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SÉTIMA– FORO (</w:t>
      </w:r>
      <w:hyperlink r:id="rId79" w:anchor="art92%C2%A71" w:tgtFrame="_blank" w:history="1">
        <w:r w:rsidRPr="00592295">
          <w:rPr>
            <w:rFonts w:ascii="Arial" w:eastAsia="Times New Roman" w:hAnsi="Arial" w:cs="Arial"/>
            <w:b/>
            <w:bCs/>
            <w:color w:val="0000FF"/>
            <w:sz w:val="18"/>
            <w:szCs w:val="18"/>
            <w:u w:val="single"/>
            <w:lang w:eastAsia="pt-BR"/>
          </w:rPr>
          <w:t>art. 92, §1º</w:t>
        </w:r>
      </w:hyperlink>
      <w:r w:rsidRPr="00592295">
        <w:rPr>
          <w:rFonts w:ascii="Arial" w:eastAsia="Times New Roman" w:hAnsi="Arial" w:cs="Arial"/>
          <w:b/>
          <w:bCs/>
          <w:color w:val="000000"/>
          <w:sz w:val="18"/>
          <w:szCs w:val="18"/>
          <w:lang w:eastAsia="pt-BR"/>
        </w:rPr>
        <w:t>)</w:t>
      </w:r>
    </w:p>
    <w:p w14:paraId="5BE3498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17.1. Fica eleito o Foro da Comarca da Capital do Estado de São Paulo para dirimir quaisquer questões que decorrerem deste Termo de Contrato, que não puderem ser resolvidas na esfera administrativa, conforme </w:t>
      </w:r>
      <w:hyperlink r:id="rId80" w:anchor="art92%C2%A71" w:tgtFrame="_blank" w:history="1">
        <w:r w:rsidRPr="00592295">
          <w:rPr>
            <w:rFonts w:ascii="Arial" w:eastAsia="Times New Roman" w:hAnsi="Arial" w:cs="Arial"/>
            <w:color w:val="0000FF"/>
            <w:sz w:val="18"/>
            <w:szCs w:val="18"/>
            <w:u w:val="single"/>
            <w:lang w:eastAsia="pt-BR"/>
          </w:rPr>
          <w:t>art. 92, § 1º, da Lei nº 14.133, de 2021</w:t>
        </w:r>
      </w:hyperlink>
      <w:r w:rsidRPr="00592295">
        <w:rPr>
          <w:rFonts w:ascii="Arial" w:eastAsia="Times New Roman" w:hAnsi="Arial" w:cs="Arial"/>
          <w:color w:val="000000"/>
          <w:sz w:val="18"/>
          <w:szCs w:val="18"/>
          <w:lang w:eastAsia="pt-BR"/>
        </w:rPr>
        <w:t>.</w:t>
      </w:r>
    </w:p>
    <w:p w14:paraId="398898F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 assim, por estarem as partes justas e contratadas, foi lavrado o presente instrumento em 01 (uma) via, que, lido e achado conforme pelo Contratado e pelo Contratante, vai por eles assinado para que produza todos os efeitos de Direito, sendo assinado também pelas testemunhas abaixo identificadas.</w:t>
      </w:r>
    </w:p>
    <w:p w14:paraId="4861C65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[Local], data da última assinatura eletrônica das partes.</w:t>
      </w:r>
    </w:p>
    <w:p w14:paraId="6A0242A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_________________________</w:t>
      </w:r>
    </w:p>
    <w:p w14:paraId="73C30A9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CONTRATANTE</w:t>
      </w:r>
    </w:p>
    <w:p w14:paraId="1C79C5C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Superintendente - HCFMUSP</w:t>
      </w:r>
    </w:p>
    <w:p w14:paraId="06A5406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0CA58D5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ÓRGÃOS TÉCNICOS RESPONSÁVEIS:</w:t>
      </w:r>
    </w:p>
    <w:p w14:paraId="462BD9C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1B4DC63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NEF - NÚCLEO ECONÔMICO FINANCEIRO</w:t>
      </w:r>
    </w:p>
    <w:p w14:paraId="11B8E9B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7DEA055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NILO - NÚCLEO DE INFRAESTRUTURA E LOGÍSTICA</w:t>
      </w:r>
    </w:p>
    <w:p w14:paraId="15DCA75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CONTRATADO</w:t>
      </w:r>
    </w:p>
    <w:p w14:paraId="4D0D67E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165745C9"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TESTEMUNHAS:</w:t>
      </w:r>
    </w:p>
    <w:p w14:paraId="2D1CED1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1-</w:t>
      </w:r>
    </w:p>
    <w:p w14:paraId="49C0404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2-</w:t>
      </w:r>
    </w:p>
    <w:p w14:paraId="7BD78391" w14:textId="1E6A9BB7" w:rsidR="00450327" w:rsidRPr="00592295" w:rsidRDefault="003D577F" w:rsidP="003B2F64">
      <w:pPr>
        <w:spacing w:after="0" w:line="240" w:lineRule="auto"/>
        <w:ind w:left="40" w:right="40"/>
        <w:jc w:val="both"/>
        <w:rPr>
          <w:rFonts w:ascii="Arial" w:eastAsia="Times New Roman" w:hAnsi="Arial" w:cs="Arial"/>
          <w:b/>
          <w:bCs/>
          <w:color w:val="000000"/>
          <w:sz w:val="18"/>
          <w:szCs w:val="18"/>
          <w:lang w:eastAsia="pt-BR"/>
        </w:rPr>
      </w:pPr>
      <w:r w:rsidRPr="00592295">
        <w:rPr>
          <w:rFonts w:ascii="Arial" w:eastAsia="Times New Roman" w:hAnsi="Arial" w:cs="Arial"/>
          <w:color w:val="000000"/>
          <w:sz w:val="18"/>
          <w:szCs w:val="18"/>
          <w:lang w:eastAsia="pt-BR"/>
        </w:rPr>
        <w:t> </w:t>
      </w:r>
    </w:p>
    <w:p w14:paraId="28EB7DEB" w14:textId="77777777" w:rsidR="003B2F64" w:rsidRDefault="003B2F64">
      <w:pP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br w:type="page"/>
      </w:r>
    </w:p>
    <w:p w14:paraId="15DF3DBA" w14:textId="7AE471B7"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lastRenderedPageBreak/>
        <w:t>ANEXO III</w:t>
      </w:r>
    </w:p>
    <w:p w14:paraId="304FB95A" w14:textId="77777777"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p>
    <w:p w14:paraId="7D866EAF" w14:textId="77777777"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Resolução SS - Nº 65, de 01/04/2024</w:t>
      </w:r>
    </w:p>
    <w:p w14:paraId="29512A3C" w14:textId="77777777" w:rsidR="003D577F" w:rsidRPr="00592295" w:rsidRDefault="003D577F" w:rsidP="003D577F">
      <w:pPr>
        <w:spacing w:after="0" w:line="240" w:lineRule="auto"/>
        <w:ind w:left="40" w:right="40"/>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29CE009D"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Dispõe sobre o procedimento, no âmbito da Secretaria da Saúde, visando à aplicação de sanções administrativas previstas na Nova Lei de Licitações e Contratos Administrativos – Lei federal nº 1 4.133/2021, e dá as providências correlatas</w:t>
      </w:r>
    </w:p>
    <w:p w14:paraId="5EFA3F1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O SECRETÁRIO DA SAÚDE DO ESTADO DE SÃO PAULO, considerando as significativas alterações introduzidas pela Lei federal nº 14.133, de 1º de abril de 2021 (LLCA), às licitações e contratações públicas, bem como a necessidade de regulamentar os procedimentos sancionatórios ao que dispõem os artigos 155 a 163 do referido diploma legal, RESOLVE:</w:t>
      </w:r>
    </w:p>
    <w:p w14:paraId="4152DD6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DISPOSIÇÕES GERAIS</w:t>
      </w:r>
    </w:p>
    <w:p w14:paraId="2303701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1º - A aplicação de sanções aos licitantes e contratados, em decorrência de infrações cometidas em procedimentos licitatórios, em contratações e em outros ajustes regidos pela Lei nº 14.133/2021 (LLCA), deverá obedecer ao disposto nesta resolução.</w:t>
      </w:r>
    </w:p>
    <w:p w14:paraId="55EED487"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2º - O licitante ou contratado, ou quem mantenha vínculo obrigacional com o Estado de São Paulo, por intermédio da Secretaria da Saúde, que incidir nas infrações relacionadas no art. 155, ficará sujeito às seguintes sanções, previstas no art. 156, ambos da LLCA:</w:t>
      </w:r>
    </w:p>
    <w:p w14:paraId="465C1A28"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advertência;</w:t>
      </w:r>
    </w:p>
    <w:p w14:paraId="56644593"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multa na forma prevista no edital ou contrato, de no mínimo 0,5% a no máximo 30% do valor do ajuste;</w:t>
      </w:r>
    </w:p>
    <w:p w14:paraId="5FCDF875"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impedimento de licitar e contratar com a Administração Pública direta e indireta do mesmo ente federativo, pelo prazo máximo de 3 (três) anos;</w:t>
      </w:r>
    </w:p>
    <w:p w14:paraId="7BC19B75"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declaração de inidoneidade para licitar e contratar no âmbito da Administração Pública direta e indireta de todos os entes federativos, pelo prazo mínimo de 3 (três) anos e máximo de 6 (seis) anos.</w:t>
      </w:r>
    </w:p>
    <w:p w14:paraId="4D75DA7A"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A aplicação das sanções previstas neste artigo não exclui a obrigação de reparação integral do dano causado à Administração Pública, nos termos do § 9º do art. 156 da LLCA.</w:t>
      </w:r>
    </w:p>
    <w:p w14:paraId="3D4B67A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As sanções previstas nos incisos I, III e IV deste artigo poderão ser aplicadas cumulativamente com a multa.</w:t>
      </w:r>
    </w:p>
    <w:p w14:paraId="10D3D8F2"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3º - Na aplicação das sanções a que se refere o artigo 2º, desta Resolução, serão considerados:</w:t>
      </w:r>
    </w:p>
    <w:p w14:paraId="2A3671A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a natureza e a gravidade da infração cometida, bem como os danos que dela provierem para a Administração Pública;</w:t>
      </w:r>
    </w:p>
    <w:p w14:paraId="05B25D2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as peculiaridades do caso concreto;</w:t>
      </w:r>
    </w:p>
    <w:p w14:paraId="26AB3F1C"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as circunstâncias agravantes ou atenuantes;</w:t>
      </w:r>
    </w:p>
    <w:p w14:paraId="12A0EEA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a implantação ou o aperfeiçoamento de programa de integridade, conforme normas e orientações dos órgãos de controle.</w:t>
      </w:r>
    </w:p>
    <w:p w14:paraId="42EFB869"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São consideradas circunstâncias agravantes na aplicação da sanção:</w:t>
      </w:r>
    </w:p>
    <w:p w14:paraId="01825BC8"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 a existência de registro do licitante ou contratado no E-Sanções ou na Relação de Apenados do TCESP, em vigência no momento do cometimento da infração, em decorrência de pen alidade aplicada no âmbito da Secretaria da Saúde, nos 12 (doze) meses anteriores ao fato ensejador da sanção;</w:t>
      </w:r>
    </w:p>
    <w:p w14:paraId="0107ADA6"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 a desclassificação ou inabilitação por descumprimento das exigências do edital, quando for notória a impossibilidade de atendimento ao estabelecido;</w:t>
      </w:r>
    </w:p>
    <w:p w14:paraId="1E9D704E"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 a inércia deliberada do licitante ou do contratado em face das diligências destinadas a esclarecer ou a complementar a instrução do processo licitatório ou o inadimplemento de obrigações contratuais;</w:t>
      </w:r>
    </w:p>
    <w:p w14:paraId="18EA2BC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 a falsidade de declaração, apresentada pelo licitante, de que é beneficiário de tratamento diferenciado concedido em legislação específica.</w:t>
      </w:r>
    </w:p>
    <w:p w14:paraId="6A9D33E9"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 a reincidência na infração;</w:t>
      </w:r>
    </w:p>
    <w:p w14:paraId="2BDD5AF5"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 a imprescindibilidade do bem ou serviço contratado para o funcionamento de serviços públicos ou satisfação de necessidade coletiva.</w:t>
      </w:r>
    </w:p>
    <w:p w14:paraId="65F73AF9"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São circunstâncias atenuantes da sanção:</w:t>
      </w:r>
    </w:p>
    <w:p w14:paraId="589E57B8"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 a falha escusável do licitante ou contratado;</w:t>
      </w:r>
    </w:p>
    <w:p w14:paraId="4D9811F3"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 a apresentação de documentação que contenha vícios ou omissões para os quais não tenha contribuído o licitante ou o contratado e que não sejam de fácil identificação por estes últimos;</w:t>
      </w:r>
    </w:p>
    <w:p w14:paraId="5DF56487"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 a juntada de documentação que, embora não tenha atendido às exigências do edital, foi encaminhada de forma equivocada, sem indício de dolo;</w:t>
      </w:r>
    </w:p>
    <w:p w14:paraId="2A1E734C"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 a adoção de medidas destinadas a mitigar os efeitos danosos da conduta infracional.</w:t>
      </w:r>
    </w:p>
    <w:p w14:paraId="6D3A05CB"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DA APLICAÇÃO DAS PENALIDADES</w:t>
      </w:r>
    </w:p>
    <w:p w14:paraId="65FD3F1F"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II.1 – Da Advertência</w:t>
      </w:r>
    </w:p>
    <w:p w14:paraId="3F6B6433"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4º - A advertência será aplicada ao contratado que der causa à inexecução parcial do contrato, da qual não advenha grave dano à Administração.</w:t>
      </w:r>
    </w:p>
    <w:p w14:paraId="15EFCD8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II.2 – Da Multa</w:t>
      </w:r>
    </w:p>
    <w:p w14:paraId="2BAB5A3A"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5º - A multa prevista no inciso II do art. 156, aplicável ao contratado ou licitante por qualquer das infrações administrativas previstas no artigo 155 da LLCA, será calculada na forma do edital ou do contrato e não poderá ser inferior a 0,5% (cinco décimos por cento) nem superior a 30% (trinta por cento) do valor do contrato licitado ou celebrado com contratação direta.</w:t>
      </w:r>
    </w:p>
    <w:p w14:paraId="67B13BC9"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6º - O atraso injustificado na execução do contrato sujeitará o contratado a multa de mora, nos termos do art. 162 da LLCA, calculada sobre o valor da obrigação não cumprida, a partir do primeiro dia útil seguinte ao término do prazo estipulado, observados os seguintes critérios:</w:t>
      </w:r>
    </w:p>
    <w:p w14:paraId="154F6A42"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- 0,5% (meio por cento) ao dia, para atraso de até 15 (quinze) dias;</w:t>
      </w:r>
    </w:p>
    <w:p w14:paraId="22AC3075"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- 1% (um por cento) ao dia, do 16º (décimo sexto) ao 30º (trigésimo) dia, aplicada em acréscimo à do inciso I;</w:t>
      </w:r>
    </w:p>
    <w:p w14:paraId="42CBC11C"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 1º - Após 30 (trinta) dias, fica caracterizada a inexecução parcial ou total do contrato, conforme o caso, sujeita a multa de 10% (dez por cento) a 30% (trinta por cento), calculada sobre o valor da obrigação não cumprida, a critério da autoridade competente, que decidirá com fundamento na avaliação do Gestor do contrato.</w:t>
      </w:r>
    </w:p>
    <w:p w14:paraId="1DBC2963"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§2º- Os prazos referidos nos incisos I e II e parágrafo primeiro deste artigo considerarão dias corridos.</w:t>
      </w:r>
    </w:p>
    <w:p w14:paraId="568C891D"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3º – No caso de prestação de serviços contínuos, a multa será de 10% (dez por cento) a 30% (trinta por cento) sobre a base mensal que seria paga à empresa contratada faltosa no mês em que houve o descumprimento da obrigação.</w:t>
      </w:r>
    </w:p>
    <w:p w14:paraId="687508AE"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7º - Verificado o descumprimento contratual no prazo e modo convencionados, se o cumprimento da obrigação não mais atender aos critérios da oportunidade e conveniência administrativa, ou, ainda que haja interesse da Administração, o devedor não cumprir sua obrigação, a multa de mora poderá ser convertida em compensatória, com a promoção da extinção unilateral do contrato, e aplicação cumulada de outras sanções previstas nesta resolução.</w:t>
      </w:r>
    </w:p>
    <w:p w14:paraId="6CDAF1AC"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8º - Se a multa aplicada e as indenizações cabíveis forem superiores ao valor de pagamento eventualmente devido pela Administração ao contratado, além da perda desse valor, a diferença será descontada da garantia prestada ou será cobrada judicialmente.</w:t>
      </w:r>
    </w:p>
    <w:p w14:paraId="267633FE"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9º - A recusa injustificada do adjudicatário em assinar o contrato ou aceitar ou retirar instrumento equivalente, dentro do prazo estabelecido, caracteriza o descumprimento total da obrigação assumida, sujeitando-o à aplicação de multa de 30% (trinta por cento) sobre o valor do contrato, além de impedimento de licitar e contratar com a Administração Pública direta e indireta do Estado de São Paulo, pelo prazo máximo de 3 (três) anos, e ainda, se for o caso, de imediata perda da garantia de proposta.</w:t>
      </w:r>
    </w:p>
    <w:p w14:paraId="1FB56F51"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10 – A Administração poderá deixar de cobrar a multa de valor inferior a 15 (quinze) UFESP’s, mantidos, entretanto, os registros no Cadastro Nacional de Empresas Inidôneas e Suspensas (CEIS) e no Cadastro Nacional de Empresas Punidas (CNEP).</w:t>
      </w:r>
    </w:p>
    <w:p w14:paraId="0E7C3A5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11 - Os bens não aceitos e as obras ou serviços executados em desacordo com o estipulado deverão ser substituídos ou corrigidos dentro do prazo fixado pela Administração, contado do recebimento, pela contratada, da comunicação da recusa.</w:t>
      </w:r>
    </w:p>
    <w:p w14:paraId="4ED5D84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 pedido de prorrogação para a entrega dos bens substituídos ou reexecução do objeto do contrato deverá, se o caso, ser apresentado, com a devida justificativa, antes do término do respectivo prazo.</w:t>
      </w:r>
    </w:p>
    <w:p w14:paraId="7CD6944C"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A ausência de regularização do objeto do contrato dentro do prazo determinado ensejará a aplicação das sanções previstas nesta resolução, considerando-se a mora a partir do primeiro dia útil seguinte ao término do prazo estabelecido.</w:t>
      </w:r>
    </w:p>
    <w:p w14:paraId="4F04218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II.3 – Do Impedimento de Licitar e Contratar</w:t>
      </w:r>
    </w:p>
    <w:p w14:paraId="6C86B32C"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12 - A sanção de impedimento de licitar ou contratar no âmbito da Administração ser á aplicada ao contratado ou licitante pelas infrações administrativas previstas nos incisos II, III, IV, V, VI e VII do “caput” do artigo 155 da LLCA, quando não se justificar a imposição de penalidade mais grave, pelos seguintes prazos:</w:t>
      </w:r>
    </w:p>
    <w:p w14:paraId="0694803F"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por 2 (dois) meses, no caso de infração prevista no inciso IV do art. 155;</w:t>
      </w:r>
    </w:p>
    <w:p w14:paraId="0A089BAD"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por 4 (quatro) meses, no caso de infrações previstas nos incisos V a VII do art. 155;</w:t>
      </w:r>
    </w:p>
    <w:p w14:paraId="0748E476"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por 1 (um) ano, no caso de infração prevista no inciso II do art. 155;</w:t>
      </w:r>
    </w:p>
    <w:p w14:paraId="1271479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por 2 (dois) anos, no caso de infração prevista no inciso III do art. 155.</w:t>
      </w:r>
    </w:p>
    <w:p w14:paraId="1ED3C1E6"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Os prazos de que trata este artigo poderão ser reduzidos ou majorados, neste último caso até o prazo máximo de 3 (três) anos, à vista de circunstâncias atenuantes ou agravantes.</w:t>
      </w:r>
    </w:p>
    <w:p w14:paraId="3CC252D2"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A aplicação da sanção prevista neste artigo impedirá o sancionado de licitar ou contratar no âmbito da Administração Pública direta e indireta do Estado de São Paulo, nos termos do § 4º do art. 156 da LLCA.</w:t>
      </w:r>
    </w:p>
    <w:p w14:paraId="05F019F6"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II.4 – Da Declaração de Inidoneidade</w:t>
      </w:r>
    </w:p>
    <w:p w14:paraId="67209369"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13 - A sanção de declaração de inidoneidade será aplicada ao contratado ou licitante pelas infrações administrativas previstas nos incisos VIII a XII do “caput” do artigo 155 da LLCA, bem como, se estiver justificada a imposição de penalidade mais grave, por aquelas previstas nos incisos II a VII do caput do mesmo artigo, e impedirá o sancionado de licitar ou contratar no âmbito da Administração Pública direta e indireta de todos os entes federativos, pelo prazo de 4 (quatro) anos.</w:t>
      </w:r>
    </w:p>
    <w:p w14:paraId="67C400F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 prazo a que alude o “caput” deste artigo poderá ser reduzido ou majorado, à vista de circunstâncias atenuantes ou agravantes, respeitado o mínimo de 3 (três) anos e o máximo de 6 (seis) anos, nos termos do § 5º do art. 156 da LLCA.</w:t>
      </w:r>
    </w:p>
    <w:p w14:paraId="65657A5D"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Para os fins do inciso X do “caput” do artigo 155 da LLCA, A (“comportar-se de modo inidôneo ou cometer fraude de qualquer natureza”), considera-se comportamento inidôneo a prática de atos direcionados a prejudicar o bom andamento do certame ou do contrato, bem como o cometimento de fraude de qualquer natureza.</w:t>
      </w:r>
    </w:p>
    <w:p w14:paraId="011426F1"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DO PROCESSO SANCIONATÓRIO</w:t>
      </w:r>
    </w:p>
    <w:p w14:paraId="7D26A74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14 - A instauração de processo sancionatório se dará mediante comunicação do gestor, ou de quem tenha a responsabilidade pelo acompanhamento da licitação ou da execução contratual, ao dirigente da Unidade responsável pelo certame ou contrato, a que estiver vinculado.</w:t>
      </w:r>
    </w:p>
    <w:p w14:paraId="4EEBD2FD"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Parágrafo único - Os emitentes das garantias exigidas no contrato deverão ser notificados quanto ao início de processo sancionatório para apuração de descumprimento de cláusulas contratuais, nos termos do artigo 137, § 4º, da LLCA.</w:t>
      </w:r>
    </w:p>
    <w:p w14:paraId="480A1FE2"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15 - Configurada a hipótese de aplicação das sanções de advertência ou multa, os responsáveis, uma vez instaurado o processo sancionatório, serão intimados para apresentação de defesa no prazo de 15 (quinze) dias úteis, contado da data do recebimento da comunicação, cabendo ao Dirigente da Unidade licitante ou contratante decidir sobre o sancionamento.</w:t>
      </w:r>
    </w:p>
    <w:p w14:paraId="4775F12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Parágrafo único - Se na instrução do processo sancionatório estiverem presentes indícios que também recomendem, desde logo, a rescisão unilateral do contrato, deverá o contratado ser comunicado de ambas as consequências da infração constatada, para oportuna decisão conjunta.</w:t>
      </w:r>
    </w:p>
    <w:p w14:paraId="12B0322B"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Artigo 16 - Para a aplicação das sanções de impedimento de licitar e contratar, e de declaração de inidoneidade para licitar ou contratar deverá ser instaurado processo de responsabilização, a ser conduzido por comissão composta de 2 (dois) ou mais servidores, indicados pelo Chefe de Gabinete, que avaliará fatos e circunstâncias conhecidos e intimará o licitante ou o contratado para, no prazo de 15 (quinze) dias úteis, contado da data de intimação, apresentar defesa escrita e especificar as provas que pretenda produzir.</w:t>
      </w:r>
    </w:p>
    <w:p w14:paraId="0C81516C"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Na hipótese de deferimento de pedido de produção de novas provas ou de juntada de provas julgadas indispensáveis pela comissão, o licitante ou o contratado poderá apresentar alegações finais no prazo de 15 (quinze) dias úteis, contado da data da intimação.</w:t>
      </w:r>
    </w:p>
    <w:p w14:paraId="581D5FBE"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Serão indeferidas pela comissão, mediante decisão fundamentada, provas ilícitas, impertinentes, desnecessárias, protelatórias ou intempestivas.</w:t>
      </w:r>
    </w:p>
    <w:p w14:paraId="79EEEF1C"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3º - Finalizada a produção de provas ou expirado o prazo para alegações finais, a comissão elaborará relatório pormenorizado dos fatos, no prazo máximo de 15 (quinze) dias úteis.</w:t>
      </w:r>
    </w:p>
    <w:p w14:paraId="5E58055F"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4º - Os processos sancionatórios deverão ser remetidos, após o término da fase de instrução, à Chefia de Gabinete para fins de avaliação do seu processamento.</w:t>
      </w:r>
    </w:p>
    <w:p w14:paraId="71D3059E"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5º – Após a avaliação do processamento pela Chefia de Gabinete, os autos serão remetidos à análise jurídica, nos termos do § 6º do art. 156 da LCCA.</w:t>
      </w:r>
    </w:p>
    <w:p w14:paraId="478B851F"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17 – Após a avaliação do processamento e a análise jurídica, em caso de aplicação da sanção de impedimento de licitar e contratar, o relatório final da comissão a que alude o artigo 15 desta resolução será encaminhado à Chefia de Gabinete, a quem compete aplicar a sanção, nos termos da Resolução SS nº 98/2004, ou outra que venha a substituí-la.</w:t>
      </w:r>
    </w:p>
    <w:p w14:paraId="4E7EC08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18 – Após a avaliação do processamento e a análise jurídica, em caso de aplicação da sanção de declaração de inidoneidade para licitar e contratar, o relatório final da comissão a que alude o artigo 15 desta Resolução será encaminhado ao Secretário da Pasta, autoridade competente para aplicação da referida sanção, nos termos do inciso I do § 6º do art. 156 da LLCA.</w:t>
      </w:r>
    </w:p>
    <w:p w14:paraId="6FAC620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19 - Da decisão da autoridade que aplicar as sanções de advertência, multa ou impedimento de licitar e contratar, caberá recurso, no prazo de 15 (quinze) dias úteis, a contar da intimação, nos termos do art. 166 da LLCA.</w:t>
      </w:r>
    </w:p>
    <w:p w14:paraId="43391A08"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 recurso de que trata o “caput” deste artigo será dirigido à autoridade sancionadora, que deverá no prazo de até 5 (cinco) dias úteis decidir se mantem ou reconsidera a decisão recorrida.</w:t>
      </w:r>
    </w:p>
    <w:p w14:paraId="00A87203"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Caso a autoridade sancionadora decida pela manutenção da decisão recorrida, dever á, imediatamente, submeter o recurso à instância superior, que decidirá sobre as condições de admissibilidade e o seu mérito no prazo de até 20 (vinte) dias úteis, contado do recebimento dos autos, nos termos do § único do art. 166 da LLCA.</w:t>
      </w:r>
    </w:p>
    <w:p w14:paraId="592A8D0B"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20 - Da decisão da autoridade que aplicar a sanção de inidoneidade para licitar e contratar, caberá apenas pedido de reconsideração, no prazo de 15 (quinze) dias úteis, contados da intimação, e será decidido no prazo máximo de 20 (vinte) dias úteis, contado de seu protocolo.</w:t>
      </w:r>
    </w:p>
    <w:p w14:paraId="5071C26D"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21 - A imposição das sanções previstas na presente resolução não impede a propositura de ação judicial com vista à reparação integral do dano causado à Administração.</w:t>
      </w:r>
    </w:p>
    <w:p w14:paraId="373CB653"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22 – O recurso e o pedido de reconsideração terão efeito suspensivo, até que sobrevenha decisão final por parte da autoridade competente.</w:t>
      </w:r>
    </w:p>
    <w:p w14:paraId="2F2B691E"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23 - A intimação dos atos no processo sancionatório será feita mediante expedição de ofício ao(s) responsável(eis) relacionado(s) no Termo de Ciência e de Notificação ou na Autorização de Serviços ou de Compras, conforme o caso, por meio do endereço eletrônico neles indicados, o qual deve ser mantido atualizado para os fins a que se destina.</w:t>
      </w:r>
    </w:p>
    <w:p w14:paraId="2F6C6B02"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Resultando infrutífera a intimação a que se refere o “caput” deste artigo, será efetuada por meio do Diário Oficial do Estado de São Paulo – DOE, por 3 (três) vezes consecutivas.</w:t>
      </w:r>
    </w:p>
    <w:p w14:paraId="6D51EDA9"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Nos processos eletrônicos instaurados nesta Administração, as comunicações dos atos oficiais serão realizadas por meio das funcionalidades existentes no Sistema Eletrônico de Informações – SEI ou em outro que venha a substituí-lo.</w:t>
      </w:r>
    </w:p>
    <w:p w14:paraId="7B176699"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24 - Decorridos 30 (trinta) dias da notificação para recolhimento da multa aplicada, não ocorrendo a quitação pelo sancionado, serão adotadas as medidas para o registro do devedor no Cadastro Informativo dos Créditos não Quitados de Órgãos e Entidades Estaduais (CADIN) e a inscrição do débito na Dívida Ativa do Estado para cobrança judicial.</w:t>
      </w:r>
    </w:p>
    <w:p w14:paraId="4BC805AD"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25 - A prescrição ocorrerá em 5 (cinco) anos, contados da ciência da infração pela Administração, e será interrompida ou suspensa nas hipóteses previstas no § 4º do artigo 158 da LLCA.</w:t>
      </w:r>
    </w:p>
    <w:p w14:paraId="538E8EB2"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26 - Os atos previstos como infrações administrativas na LLCA ou em outras leis de licitações e contratos da Administração Pública que também sejam tipificados como atos lesivos na Lei nº 12.846, de 1º de agosto de 2013, serão apurados e julgados conjuntamente, nos mesmos autos, observados o rito procedimental e a autoridade competente definidos na referida lei, nos termos do art. 159 da LLCA.</w:t>
      </w:r>
    </w:p>
    <w:p w14:paraId="1F051C21"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27 - A personalidade jurídica poderá ser desconsiderada sempre que utilizada com abuso do direito para facilitar, encobrir ou dissimular a prática dos atos ilícitos previstos na LLCA ou para provocar confusão patrimonial, e, neste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w:t>
      </w:r>
    </w:p>
    <w:p w14:paraId="2214F32F"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28 - Independentemente da instauração de processo sancionatório, caso constatada irregularidade no procedimento licitatório ou na execução contratual, a autoridade competente da Unidade/Coordenadoria poderá determinar, quando a medida se revelar de interesse público, a suspensão da execução do contrato, mediante comunicação expressa aos responsáveis indicados no Termo de Ciência e de Notificação, desde que avaliados os aspectos a que se refere o artigo 147 da LLCA.</w:t>
      </w:r>
    </w:p>
    <w:p w14:paraId="18C219B5"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Artigo 29 - Aplica-se na contagem dos prazos previstos nesta resolução o disposto no artigo 183 da LLCA.</w:t>
      </w:r>
    </w:p>
    <w:p w14:paraId="6961011B"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30 - Encerrada a instância administrativa, as sanções aplicadas deverão ser registradas na Relação de Apenados do TCESP, no Cadastro Nacional de Empresas Inidôneas e Suspensas (CEIS) e no Cadastro Nacional de Empresas Punidas (CNEP), bem como, conforme o caso, comunicadas às autoridades competentes para fins de anotações nos demais cadastros de controle, inclusive às entidades profissionais, dentro do prazo legal de 15 (quinze) dias úteis, contado da data de aplicação da sanção.</w:t>
      </w:r>
    </w:p>
    <w:p w14:paraId="4974462B"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31 - É admitida a reabilitação do licitante ou contratado perante a própria autoridade que aplicou a penalidade, exigidos, cumulativamente:</w:t>
      </w:r>
    </w:p>
    <w:p w14:paraId="0CB4C5E7"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reparação integral do dano causado à Administração Pública;</w:t>
      </w:r>
    </w:p>
    <w:p w14:paraId="0E18E013"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pagamento da multa;</w:t>
      </w:r>
    </w:p>
    <w:p w14:paraId="6B58F25F"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transcurso do prazo mínimo de 1 (um) ano da aplicação da penalidade, no caso de impedimento de licitar e contratar, ou de 3 (três) anos da aplicação da penalidade, no caso de declaração de inidoneidade;</w:t>
      </w:r>
    </w:p>
    <w:p w14:paraId="4E570C9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cumprimento das condições de reabilitação definidas no ato punitivo;</w:t>
      </w:r>
    </w:p>
    <w:p w14:paraId="7C89D96F"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 - análise jurídica prévia, com posicionamento conclusivo quanto ao cumprimento dos requisitos definidos neste artigo.</w:t>
      </w:r>
    </w:p>
    <w:p w14:paraId="4F677175"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Parágrafo Único - A sanção pela apresentação de declaração ou documentação falsa exigida para o certame, por prestar declaração falsa durante a licitação ou execução do contrato, bem como pela prática de ato lesivo, nos termos do artigo 5º da Lei nº 12.846, de 1º de agosto de 2013, exigirá, como condição de reabilitação do licitante ou contratado, a implantação ou aperfeiçoamento de programa de integridade pelo responsável.</w:t>
      </w:r>
    </w:p>
    <w:p w14:paraId="4E787257"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DISPOSIÇÕES FINAIS</w:t>
      </w:r>
    </w:p>
    <w:p w14:paraId="7DC74F77"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32 - A presente resolução deverá integrar, obrigatoriamente, como anexo, os instrumentos convocatórios de licitação, os contratos e os instrumentos equivalentes.</w:t>
      </w:r>
    </w:p>
    <w:p w14:paraId="62407C98"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33 - Esta resolução entra em vigor na data de sua publicação, produzindo efeitos em relação aos certames e contratos regidos pela Lei federal nº 14.133/2021.</w:t>
      </w:r>
    </w:p>
    <w:p w14:paraId="5EF8B081"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(D.O.E de 01/04/2024 – Caderno Executivo – ATOS Normativos )</w:t>
      </w:r>
    </w:p>
    <w:p w14:paraId="37B53A9C" w14:textId="4A8F3C6B" w:rsidR="00450327" w:rsidRPr="00592295" w:rsidRDefault="003D577F" w:rsidP="003B2F64">
      <w:pPr>
        <w:spacing w:after="0" w:line="240" w:lineRule="auto"/>
        <w:ind w:left="40" w:right="40"/>
        <w:jc w:val="both"/>
        <w:rPr>
          <w:rFonts w:ascii="Arial" w:eastAsia="Times New Roman" w:hAnsi="Arial" w:cs="Arial"/>
          <w:b/>
          <w:bCs/>
          <w:color w:val="000000"/>
          <w:sz w:val="18"/>
          <w:szCs w:val="18"/>
          <w:lang w:eastAsia="pt-BR"/>
        </w:rPr>
      </w:pPr>
      <w:r w:rsidRPr="00592295">
        <w:rPr>
          <w:rFonts w:ascii="Arial" w:eastAsia="Times New Roman" w:hAnsi="Arial" w:cs="Arial"/>
          <w:color w:val="000000"/>
          <w:sz w:val="18"/>
          <w:szCs w:val="18"/>
          <w:lang w:eastAsia="pt-BR"/>
        </w:rPr>
        <w:t> </w:t>
      </w:r>
    </w:p>
    <w:p w14:paraId="4E8C4FEA" w14:textId="77777777" w:rsidR="003B2F64" w:rsidRDefault="003B2F64">
      <w:pP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br w:type="page"/>
      </w:r>
    </w:p>
    <w:p w14:paraId="3E96550E" w14:textId="740DC004"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lastRenderedPageBreak/>
        <w:t>ANEXO IV</w:t>
      </w:r>
    </w:p>
    <w:p w14:paraId="2849C085"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306B7E44" w14:textId="77777777" w:rsidR="003D577F" w:rsidRPr="00592295" w:rsidRDefault="003D577F" w:rsidP="00450327">
      <w:pPr>
        <w:spacing w:after="165" w:line="240" w:lineRule="auto"/>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MODELO(S) REFERENTE(S) A PLANILHA DE PROPOSTA</w:t>
      </w:r>
    </w:p>
    <w:p w14:paraId="26D7C947"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3F5162B7"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Ao HCFMUSP</w:t>
      </w:r>
    </w:p>
    <w:p w14:paraId="3044C99E"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bl>
      <w:tblPr>
        <w:tblW w:w="9570" w:type="dxa"/>
        <w:tblInd w:w="-75" w:type="dxa"/>
        <w:tblCellMar>
          <w:top w:w="15" w:type="dxa"/>
          <w:left w:w="15" w:type="dxa"/>
          <w:bottom w:w="15" w:type="dxa"/>
          <w:right w:w="15" w:type="dxa"/>
        </w:tblCellMar>
        <w:tblLook w:val="04A0" w:firstRow="1" w:lastRow="0" w:firstColumn="1" w:lastColumn="0" w:noHBand="0" w:noVBand="1"/>
      </w:tblPr>
      <w:tblGrid>
        <w:gridCol w:w="586"/>
        <w:gridCol w:w="780"/>
        <w:gridCol w:w="1980"/>
        <w:gridCol w:w="582"/>
        <w:gridCol w:w="970"/>
        <w:gridCol w:w="1766"/>
        <w:gridCol w:w="642"/>
        <w:gridCol w:w="776"/>
        <w:gridCol w:w="861"/>
        <w:gridCol w:w="627"/>
      </w:tblGrid>
      <w:tr w:rsidR="003D577F" w:rsidRPr="00592295" w14:paraId="02D815F2" w14:textId="77777777" w:rsidTr="0067067B">
        <w:trPr>
          <w:trHeight w:val="300"/>
        </w:trPr>
        <w:tc>
          <w:tcPr>
            <w:tcW w:w="586" w:type="dxa"/>
            <w:tcBorders>
              <w:top w:val="single" w:sz="6" w:space="0" w:color="000000"/>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14:paraId="59F782A5"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w:t>
            </w:r>
          </w:p>
        </w:tc>
        <w:tc>
          <w:tcPr>
            <w:tcW w:w="780" w:type="dxa"/>
            <w:tcBorders>
              <w:top w:val="single" w:sz="6" w:space="0" w:color="000000"/>
              <w:left w:val="nil"/>
              <w:bottom w:val="single" w:sz="6" w:space="0" w:color="000000"/>
              <w:right w:val="single" w:sz="6" w:space="0" w:color="000000"/>
            </w:tcBorders>
            <w:noWrap/>
            <w:tcMar>
              <w:top w:w="0" w:type="dxa"/>
              <w:left w:w="75" w:type="dxa"/>
              <w:bottom w:w="0" w:type="dxa"/>
              <w:right w:w="75" w:type="dxa"/>
            </w:tcMar>
            <w:vAlign w:val="center"/>
            <w:hideMark/>
          </w:tcPr>
          <w:p w14:paraId="075BE264"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Código</w:t>
            </w:r>
          </w:p>
        </w:tc>
        <w:tc>
          <w:tcPr>
            <w:tcW w:w="1980" w:type="dxa"/>
            <w:tcBorders>
              <w:top w:val="single" w:sz="6" w:space="0" w:color="000000"/>
              <w:left w:val="nil"/>
              <w:bottom w:val="single" w:sz="6" w:space="0" w:color="000000"/>
              <w:right w:val="single" w:sz="6" w:space="0" w:color="000000"/>
            </w:tcBorders>
            <w:noWrap/>
            <w:tcMar>
              <w:top w:w="0" w:type="dxa"/>
              <w:left w:w="75" w:type="dxa"/>
              <w:bottom w:w="0" w:type="dxa"/>
              <w:right w:w="75" w:type="dxa"/>
            </w:tcMar>
            <w:vAlign w:val="center"/>
            <w:hideMark/>
          </w:tcPr>
          <w:p w14:paraId="6B08BFC3"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 técnica do(s) produto(s) ofertado(s)*</w:t>
            </w:r>
          </w:p>
        </w:tc>
        <w:tc>
          <w:tcPr>
            <w:tcW w:w="582" w:type="dxa"/>
            <w:tcBorders>
              <w:top w:val="single" w:sz="6" w:space="0" w:color="000000"/>
              <w:left w:val="nil"/>
              <w:bottom w:val="single" w:sz="6" w:space="0" w:color="000000"/>
              <w:right w:val="single" w:sz="6" w:space="0" w:color="000000"/>
            </w:tcBorders>
            <w:tcMar>
              <w:top w:w="2" w:type="dxa"/>
              <w:left w:w="2" w:type="dxa"/>
              <w:bottom w:w="2" w:type="dxa"/>
              <w:right w:w="2" w:type="dxa"/>
            </w:tcMar>
            <w:vAlign w:val="center"/>
            <w:hideMark/>
          </w:tcPr>
          <w:p w14:paraId="49B186D6"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970" w:type="dxa"/>
            <w:tcBorders>
              <w:top w:val="single" w:sz="6" w:space="0" w:color="000000"/>
              <w:left w:val="nil"/>
              <w:bottom w:val="single" w:sz="6" w:space="0" w:color="000000"/>
              <w:right w:val="single" w:sz="6" w:space="0" w:color="000000"/>
            </w:tcBorders>
            <w:tcMar>
              <w:top w:w="2" w:type="dxa"/>
              <w:left w:w="2" w:type="dxa"/>
              <w:bottom w:w="2" w:type="dxa"/>
              <w:right w:w="2" w:type="dxa"/>
            </w:tcMar>
            <w:vAlign w:val="center"/>
            <w:hideMark/>
          </w:tcPr>
          <w:p w14:paraId="3A8EA845"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Fabricante</w:t>
            </w:r>
          </w:p>
        </w:tc>
        <w:tc>
          <w:tcPr>
            <w:tcW w:w="1766" w:type="dxa"/>
            <w:tcBorders>
              <w:top w:val="single" w:sz="6" w:space="0" w:color="000000"/>
              <w:left w:val="nil"/>
              <w:bottom w:val="single" w:sz="6" w:space="0" w:color="000000"/>
              <w:right w:val="single" w:sz="6" w:space="0" w:color="000000"/>
            </w:tcBorders>
            <w:tcMar>
              <w:top w:w="2" w:type="dxa"/>
              <w:left w:w="2" w:type="dxa"/>
              <w:bottom w:w="2" w:type="dxa"/>
              <w:right w:w="2" w:type="dxa"/>
            </w:tcMar>
            <w:vAlign w:val="center"/>
            <w:hideMark/>
          </w:tcPr>
          <w:p w14:paraId="0DDA2175"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Nº Registro ANVISA</w:t>
            </w:r>
          </w:p>
        </w:tc>
        <w:tc>
          <w:tcPr>
            <w:tcW w:w="642"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14:paraId="04423670"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Unid.</w:t>
            </w:r>
          </w:p>
        </w:tc>
        <w:tc>
          <w:tcPr>
            <w:tcW w:w="776"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14:paraId="7B2F0B40"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w:t>
            </w:r>
          </w:p>
        </w:tc>
        <w:tc>
          <w:tcPr>
            <w:tcW w:w="861"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14:paraId="56CF88AA"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unitário (R$)</w:t>
            </w:r>
          </w:p>
        </w:tc>
        <w:tc>
          <w:tcPr>
            <w:tcW w:w="627"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14:paraId="72BAC9AE"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total (R$)</w:t>
            </w:r>
          </w:p>
        </w:tc>
      </w:tr>
      <w:tr w:rsidR="003D577F" w:rsidRPr="00592295" w14:paraId="33F22326" w14:textId="77777777"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14:paraId="36CE9099"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2D8E1374"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3E8D19C4"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14:paraId="462238C3"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14:paraId="29E87266"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14:paraId="55797990"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3039603B"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242D85E3"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14:paraId="01760FC3" w14:textId="77777777" w:rsidR="003D577F" w:rsidRPr="00592295" w:rsidRDefault="003D577F" w:rsidP="00C97584">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r w:rsidR="00C97584">
              <w:rPr>
                <w:rFonts w:ascii="Arial" w:eastAsia="Times New Roman" w:hAnsi="Arial" w:cs="Arial"/>
                <w:sz w:val="18"/>
                <w:szCs w:val="18"/>
                <w:lang w:eastAsia="pt-BR"/>
              </w:rPr>
              <w:t>0,0000 Será aceito quatro casas decimais após a virgula</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14:paraId="29476B75"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r w:rsidR="003D577F" w:rsidRPr="00592295" w14:paraId="3421BB6C" w14:textId="77777777"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14:paraId="6B3B3E42"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5AD05D2D"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06937EDD"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14:paraId="63768CE5"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14:paraId="56081843"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14:paraId="0F97B1D6"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498E1D02"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6BFBAD64"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14:paraId="3137C319"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14:paraId="434473F8"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r w:rsidR="003D577F" w:rsidRPr="00592295" w14:paraId="2AC37439" w14:textId="77777777"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14:paraId="0D1FFF45"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1F90B629"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0DA9104D"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14:paraId="29E2FF70"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14:paraId="046E3EA3"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14:paraId="1465A99E"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1B28C0EE"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057E3C96"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14:paraId="56E6FCF7"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14:paraId="76836B97"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r w:rsidR="003D577F" w:rsidRPr="00592295" w14:paraId="566A7BAC" w14:textId="77777777"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14:paraId="274E65A2"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059DB0CD"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0D945DC0"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14:paraId="0FDD47D9"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14:paraId="371A130B"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14:paraId="7E596436"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466655F1"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5EFBCECC"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14:paraId="7D39568D"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14:paraId="1BBA5563"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bl>
    <w:p w14:paraId="4E1764FA"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7289AF72"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271CA672" w14:textId="77777777" w:rsidR="003D577F"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Descrição do objeto da presente licitação, </w:t>
      </w:r>
      <w:r w:rsidRPr="00592295">
        <w:rPr>
          <w:rFonts w:ascii="Arial" w:eastAsia="Times New Roman" w:hAnsi="Arial" w:cs="Arial"/>
          <w:color w:val="000000"/>
          <w:sz w:val="18"/>
          <w:szCs w:val="18"/>
          <w:u w:val="single"/>
          <w:lang w:eastAsia="pt-BR"/>
        </w:rPr>
        <w:t>com a indicação da procedência, marca e fabricante, acondicionamento e embalagem do produto cotado</w:t>
      </w:r>
      <w:r w:rsidRPr="00592295">
        <w:rPr>
          <w:rFonts w:ascii="Arial" w:eastAsia="Times New Roman" w:hAnsi="Arial" w:cs="Arial"/>
          <w:color w:val="000000"/>
          <w:sz w:val="18"/>
          <w:szCs w:val="18"/>
          <w:lang w:eastAsia="pt-BR"/>
        </w:rPr>
        <w:t>, em conformidade com as especificações do Termo de Referência – Anexo I deste Edital.</w:t>
      </w:r>
    </w:p>
    <w:p w14:paraId="112A2AF9" w14:textId="77777777" w:rsidR="008D5F2C" w:rsidRPr="008D5F2C" w:rsidRDefault="008D5F2C" w:rsidP="008D5F2C">
      <w:pPr>
        <w:spacing w:after="0" w:line="240" w:lineRule="auto"/>
        <w:jc w:val="both"/>
        <w:rPr>
          <w:rFonts w:eastAsia="Times New Roman" w:cstheme="minorHAnsi"/>
          <w:b/>
          <w:sz w:val="20"/>
          <w:szCs w:val="20"/>
          <w:lang w:eastAsia="pt-BR"/>
        </w:rPr>
      </w:pPr>
      <w:r w:rsidRPr="008D5F2C">
        <w:rPr>
          <w:rFonts w:eastAsia="Times New Roman" w:cstheme="minorHAnsi"/>
          <w:b/>
          <w:sz w:val="20"/>
          <w:szCs w:val="20"/>
          <w:lang w:eastAsia="pt-BR"/>
        </w:rPr>
        <w:t>** No campo “valor unitário” poderão ser consideradas até quatro casas decimais.</w:t>
      </w:r>
    </w:p>
    <w:p w14:paraId="19BF57D8" w14:textId="77777777" w:rsidR="008D5F2C" w:rsidRPr="00F43360" w:rsidRDefault="008D5F2C" w:rsidP="008D5F2C">
      <w:pPr>
        <w:spacing w:after="0" w:line="240" w:lineRule="auto"/>
        <w:jc w:val="both"/>
        <w:rPr>
          <w:rFonts w:eastAsia="Times New Roman" w:cstheme="minorHAnsi"/>
          <w:sz w:val="20"/>
          <w:szCs w:val="20"/>
          <w:lang w:eastAsia="pt-BR"/>
        </w:rPr>
      </w:pPr>
    </w:p>
    <w:p w14:paraId="5C99B496" w14:textId="77777777" w:rsidR="008D5F2C" w:rsidRPr="00F43360" w:rsidRDefault="008D5F2C" w:rsidP="0055555C">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Número do Registro no MS: ...............................</w:t>
      </w:r>
    </w:p>
    <w:p w14:paraId="0FB1C466" w14:textId="77777777" w:rsidR="008D5F2C" w:rsidRPr="00F43360" w:rsidRDefault="008D5F2C" w:rsidP="008D5F2C">
      <w:pPr>
        <w:spacing w:after="0" w:line="240" w:lineRule="auto"/>
        <w:jc w:val="both"/>
        <w:rPr>
          <w:rFonts w:eastAsia="Times New Roman" w:cstheme="minorHAnsi"/>
          <w:sz w:val="20"/>
          <w:szCs w:val="20"/>
          <w:lang w:eastAsia="pt-BR"/>
        </w:rPr>
      </w:pPr>
    </w:p>
    <w:p w14:paraId="31C831BB" w14:textId="77777777" w:rsidR="008D5F2C" w:rsidRPr="00F43360" w:rsidRDefault="008D5F2C" w:rsidP="0055555C">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 xml:space="preserve">Prazo de validade da proposta: .....(preencher considerando o mínimo de sessenta dias) ............ </w:t>
      </w:r>
    </w:p>
    <w:p w14:paraId="6828A102" w14:textId="77777777" w:rsidR="008D5F2C" w:rsidRPr="00F43360" w:rsidRDefault="008D5F2C" w:rsidP="008D5F2C">
      <w:pPr>
        <w:spacing w:after="0" w:line="240" w:lineRule="auto"/>
        <w:jc w:val="both"/>
        <w:rPr>
          <w:rFonts w:eastAsia="Times New Roman" w:cstheme="minorHAnsi"/>
          <w:sz w:val="20"/>
          <w:szCs w:val="20"/>
          <w:lang w:eastAsia="pt-BR"/>
        </w:rPr>
      </w:pPr>
    </w:p>
    <w:p w14:paraId="79B5ADE7" w14:textId="77777777" w:rsidR="008D5F2C" w:rsidRPr="00F43360" w:rsidRDefault="008D5F2C" w:rsidP="0055555C">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Prazo de entrega: ........ (preencher conforme edital).................................</w:t>
      </w:r>
    </w:p>
    <w:p w14:paraId="49DD7180" w14:textId="77777777" w:rsidR="008D5F2C" w:rsidRPr="00F43360" w:rsidRDefault="008D5F2C" w:rsidP="008D5F2C">
      <w:pPr>
        <w:spacing w:after="0" w:line="240" w:lineRule="auto"/>
        <w:jc w:val="both"/>
        <w:rPr>
          <w:rFonts w:eastAsia="Times New Roman" w:cstheme="minorHAnsi"/>
          <w:sz w:val="20"/>
          <w:szCs w:val="20"/>
          <w:lang w:eastAsia="pt-BR"/>
        </w:rPr>
      </w:pPr>
    </w:p>
    <w:p w14:paraId="4F581BA2" w14:textId="77777777" w:rsidR="008D5F2C" w:rsidRPr="00F43360" w:rsidRDefault="008D5F2C" w:rsidP="0055555C">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Prazo de validade produto: ................ (inserir validade total do produto em meses)........</w:t>
      </w:r>
    </w:p>
    <w:p w14:paraId="0228F16B" w14:textId="77777777" w:rsidR="008D5F2C" w:rsidRPr="00F43360" w:rsidRDefault="008D5F2C" w:rsidP="008D5F2C">
      <w:pPr>
        <w:spacing w:after="0" w:line="240" w:lineRule="auto"/>
        <w:jc w:val="both"/>
        <w:rPr>
          <w:rFonts w:eastAsia="Times New Roman" w:cstheme="minorHAnsi"/>
          <w:sz w:val="20"/>
          <w:szCs w:val="20"/>
          <w:lang w:eastAsia="pt-BR"/>
        </w:rPr>
      </w:pPr>
    </w:p>
    <w:p w14:paraId="77C247FF" w14:textId="77777777" w:rsidR="008D5F2C" w:rsidRPr="00F43360" w:rsidRDefault="008D5F2C" w:rsidP="0055555C">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Prazo de validade do produto na entrega: ..(considerar no mínimo o prazo indicado para o item no anexo I) ...........</w:t>
      </w:r>
    </w:p>
    <w:p w14:paraId="7350EF55" w14:textId="77777777" w:rsidR="008D5F2C" w:rsidRPr="0059401B" w:rsidRDefault="008D5F2C" w:rsidP="008D5F2C"/>
    <w:p w14:paraId="02FA7DCE" w14:textId="77777777" w:rsidR="008D5F2C" w:rsidRDefault="008D5F2C" w:rsidP="003D577F">
      <w:pPr>
        <w:spacing w:after="165" w:line="240" w:lineRule="auto"/>
        <w:rPr>
          <w:rFonts w:ascii="Arial" w:eastAsia="Times New Roman" w:hAnsi="Arial" w:cs="Arial"/>
          <w:color w:val="000000"/>
          <w:sz w:val="18"/>
          <w:szCs w:val="18"/>
          <w:lang w:eastAsia="pt-BR"/>
        </w:rPr>
      </w:pPr>
    </w:p>
    <w:p w14:paraId="5EB8E6EE" w14:textId="77777777" w:rsidR="008D5F2C" w:rsidRPr="00592295" w:rsidRDefault="008D5F2C" w:rsidP="003D577F">
      <w:pPr>
        <w:spacing w:after="165" w:line="240" w:lineRule="auto"/>
        <w:rPr>
          <w:rFonts w:ascii="Arial" w:eastAsia="Times New Roman" w:hAnsi="Arial" w:cs="Arial"/>
          <w:color w:val="000000"/>
          <w:sz w:val="18"/>
          <w:szCs w:val="18"/>
          <w:lang w:eastAsia="pt-BR"/>
        </w:rPr>
      </w:pPr>
    </w:p>
    <w:p w14:paraId="768020E9"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Data</w:t>
      </w:r>
    </w:p>
    <w:p w14:paraId="2C7B836E"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196DE54F" w14:textId="77777777" w:rsidR="003D577F"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Assinatura do responsável</w:t>
      </w:r>
    </w:p>
    <w:p w14:paraId="4CD113DD" w14:textId="77777777" w:rsidR="003B2F64" w:rsidRDefault="003B2F64">
      <w:pP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br w:type="page"/>
      </w:r>
    </w:p>
    <w:p w14:paraId="456850E9" w14:textId="77E2A496" w:rsidR="003D577F" w:rsidRPr="00592295" w:rsidRDefault="003D577F" w:rsidP="008D5F2C">
      <w:pPr>
        <w:spacing w:after="165" w:line="240" w:lineRule="auto"/>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lastRenderedPageBreak/>
        <w:t>ANEXO V</w:t>
      </w:r>
    </w:p>
    <w:p w14:paraId="4DF4E591" w14:textId="77777777" w:rsidR="003D577F" w:rsidRPr="00592295" w:rsidRDefault="003D577F" w:rsidP="00FC5816">
      <w:pPr>
        <w:spacing w:after="165" w:line="240" w:lineRule="auto"/>
        <w:jc w:val="center"/>
        <w:rPr>
          <w:rFonts w:ascii="Arial" w:eastAsia="Times New Roman" w:hAnsi="Arial" w:cs="Arial"/>
          <w:color w:val="000000"/>
          <w:sz w:val="18"/>
          <w:szCs w:val="18"/>
          <w:lang w:eastAsia="pt-BR"/>
        </w:rPr>
      </w:pPr>
    </w:p>
    <w:p w14:paraId="4717CD3B"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MINUTA DE ATA DE REGISTRO DE PREÇOS</w:t>
      </w:r>
    </w:p>
    <w:p w14:paraId="77293D4D"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HOSPITAL DAS CLINICAS DA FACULDADE DE MEDICINA DA UNIVERSIDADE DE SÃO PAULO</w:t>
      </w:r>
    </w:p>
    <w:p w14:paraId="0421B042"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 xml:space="preserve">PROCESSO ADMINISTRATIVO SEI: </w:t>
      </w:r>
      <w:r w:rsidR="00AD38B3">
        <w:rPr>
          <w:rFonts w:ascii="Arial" w:eastAsia="Times New Roman" w:hAnsi="Arial" w:cs="Arial"/>
          <w:b/>
          <w:bCs/>
          <w:color w:val="000000"/>
          <w:sz w:val="18"/>
          <w:szCs w:val="18"/>
          <w:lang w:eastAsia="pt-BR"/>
        </w:rPr>
        <w:t>XXXXXXXXXXXXXXXXXXXXXXXXXXX</w:t>
      </w:r>
    </w:p>
    <w:p w14:paraId="1B737C11"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PREG</w:t>
      </w:r>
      <w:r w:rsidR="00AD38B3">
        <w:rPr>
          <w:rFonts w:ascii="Arial" w:eastAsia="Times New Roman" w:hAnsi="Arial" w:cs="Arial"/>
          <w:b/>
          <w:bCs/>
          <w:color w:val="000000"/>
          <w:sz w:val="18"/>
          <w:szCs w:val="18"/>
          <w:lang w:eastAsia="pt-BR"/>
        </w:rPr>
        <w:t>ÃO ELETRÔNICO Nº ........../20XX</w:t>
      </w:r>
    </w:p>
    <w:p w14:paraId="386B5279"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ATA DE REGISTRO DE PREÇOS Nº ......./20</w:t>
      </w:r>
      <w:r w:rsidR="00AD38B3">
        <w:rPr>
          <w:rFonts w:ascii="Arial" w:eastAsia="Times New Roman" w:hAnsi="Arial" w:cs="Arial"/>
          <w:b/>
          <w:bCs/>
          <w:color w:val="000000"/>
          <w:sz w:val="18"/>
          <w:szCs w:val="18"/>
          <w:lang w:eastAsia="pt-BR"/>
        </w:rPr>
        <w:t>XX</w:t>
      </w:r>
      <w:r w:rsidRPr="00592295">
        <w:rPr>
          <w:rFonts w:ascii="Arial" w:eastAsia="Times New Roman" w:hAnsi="Arial" w:cs="Arial"/>
          <w:color w:val="000000"/>
          <w:sz w:val="18"/>
          <w:szCs w:val="18"/>
          <w:lang w:eastAsia="pt-BR"/>
        </w:rPr>
        <w:t> </w:t>
      </w:r>
    </w:p>
    <w:p w14:paraId="0847AB93"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O </w:t>
      </w:r>
      <w:r w:rsidRPr="00592295">
        <w:rPr>
          <w:rFonts w:ascii="Arial" w:eastAsia="Times New Roman" w:hAnsi="Arial" w:cs="Arial"/>
          <w:b/>
          <w:bCs/>
          <w:color w:val="000000"/>
          <w:sz w:val="18"/>
          <w:szCs w:val="18"/>
          <w:lang w:eastAsia="pt-BR"/>
        </w:rPr>
        <w:t>HOSPITAL DAS CLÍNICAS DA FACULDADE DE MEDICINA DA UNIVERSIDADE DE SÃO PAULO</w:t>
      </w:r>
      <w:r w:rsidRPr="00592295">
        <w:rPr>
          <w:rFonts w:ascii="Arial" w:eastAsia="Times New Roman" w:hAnsi="Arial" w:cs="Arial"/>
          <w:color w:val="000000"/>
          <w:sz w:val="18"/>
          <w:szCs w:val="18"/>
          <w:lang w:eastAsia="pt-BR"/>
        </w:rPr>
        <w:t>, com sede na Rua Dr. Ovídio Pires de Campos, 225, bairro Cerqueira César na cidade de São Paulo inscrito(a) no CNPJ sob o nº 60.448.040/0001-22 neste ato representado por seu </w:t>
      </w:r>
      <w:r w:rsidRPr="00592295">
        <w:rPr>
          <w:rFonts w:ascii="Arial" w:eastAsia="Times New Roman" w:hAnsi="Arial" w:cs="Arial"/>
          <w:b/>
          <w:bCs/>
          <w:color w:val="000000"/>
          <w:sz w:val="18"/>
          <w:szCs w:val="18"/>
          <w:lang w:eastAsia="pt-BR"/>
        </w:rPr>
        <w:t>Superintendente</w:t>
      </w:r>
      <w:r w:rsidRPr="00592295">
        <w:rPr>
          <w:rFonts w:ascii="Arial" w:eastAsia="Times New Roman" w:hAnsi="Arial" w:cs="Arial"/>
          <w:color w:val="000000"/>
          <w:sz w:val="18"/>
          <w:szCs w:val="18"/>
          <w:lang w:eastAsia="pt-BR"/>
        </w:rPr>
        <w:t>, Antônio Jose Rodrigues Pereira, CPF nº 106.527.498-0, doravante designado simplesmente HCFMUSP e por seus Órgãos Técnicos, Núcleo Econômico Financeiro – NEF e Núcleo de Infraestrutura e Logística - NILO, representados por seus coordenadores, considerando o resultado obtido conforme o processo administrativo </w:t>
      </w:r>
      <w:r w:rsidRPr="00592295">
        <w:rPr>
          <w:rFonts w:ascii="Arial" w:eastAsia="Times New Roman" w:hAnsi="Arial" w:cs="Arial"/>
          <w:b/>
          <w:bCs/>
          <w:color w:val="000000"/>
          <w:sz w:val="18"/>
          <w:szCs w:val="18"/>
          <w:lang w:eastAsia="pt-BR"/>
        </w:rPr>
        <w:t xml:space="preserve">SEI: </w:t>
      </w:r>
      <w:r w:rsidR="00AD38B3">
        <w:rPr>
          <w:rFonts w:ascii="Arial" w:eastAsia="Times New Roman" w:hAnsi="Arial" w:cs="Arial"/>
          <w:b/>
          <w:bCs/>
          <w:color w:val="000000"/>
          <w:sz w:val="18"/>
          <w:szCs w:val="18"/>
          <w:lang w:eastAsia="pt-BR"/>
        </w:rPr>
        <w:t>XXXXXXXXXXXXXXXXXXXXXX</w:t>
      </w:r>
      <w:r w:rsidRPr="00592295">
        <w:rPr>
          <w:rFonts w:ascii="Arial" w:eastAsia="Times New Roman" w:hAnsi="Arial" w:cs="Arial"/>
          <w:color w:val="000000"/>
          <w:sz w:val="18"/>
          <w:szCs w:val="18"/>
          <w:lang w:eastAsia="pt-BR"/>
        </w:rPr>
        <w:t>, RESOLVE celebrar a presente ATA de REGISTRO DE PREÇOS, procedendo ao registro dos preços do(s) fornecedor(es) indicado(s) e qualificado(s) nesta ata, de acordo com a classificação por ele(s) alcançada e na(s) quantidade(s) cotada(s), atendendo às condições previstas no Edital de licitação, sujeitando-se as partes às normas constantes na sujeitando-se as partes às normas constantes na </w:t>
      </w:r>
      <w:hyperlink r:id="rId81" w:tgtFrame="_blank" w:history="1">
        <w:r w:rsidRPr="00592295">
          <w:rPr>
            <w:rFonts w:ascii="Arial" w:eastAsia="Times New Roman" w:hAnsi="Arial" w:cs="Arial"/>
            <w:color w:val="000080"/>
            <w:sz w:val="18"/>
            <w:szCs w:val="18"/>
            <w:u w:val="single"/>
            <w:lang w:eastAsia="pt-BR"/>
          </w:rPr>
          <w:t>Lei nº 14.133, de 1º de abril de 2021</w:t>
        </w:r>
      </w:hyperlink>
      <w:r w:rsidRPr="00592295">
        <w:rPr>
          <w:rFonts w:ascii="Arial" w:eastAsia="Times New Roman" w:hAnsi="Arial" w:cs="Arial"/>
          <w:color w:val="000000"/>
          <w:sz w:val="18"/>
          <w:szCs w:val="18"/>
          <w:lang w:eastAsia="pt-BR"/>
        </w:rPr>
        <w:t>, no </w:t>
      </w:r>
      <w:hyperlink r:id="rId82" w:tgtFrame="_blank" w:history="1">
        <w:r w:rsidRPr="00592295">
          <w:rPr>
            <w:rFonts w:ascii="Arial" w:eastAsia="Times New Roman" w:hAnsi="Arial" w:cs="Arial"/>
            <w:color w:val="000080"/>
            <w:sz w:val="18"/>
            <w:szCs w:val="18"/>
            <w:u w:val="single"/>
            <w:lang w:eastAsia="pt-BR"/>
          </w:rPr>
          <w:t>Decreto estadual nº 67.608, de 27 de março de 2023</w:t>
        </w:r>
      </w:hyperlink>
      <w:r w:rsidRPr="00592295">
        <w:rPr>
          <w:rFonts w:ascii="Arial" w:eastAsia="Times New Roman" w:hAnsi="Arial" w:cs="Arial"/>
          <w:color w:val="000000"/>
          <w:sz w:val="18"/>
          <w:szCs w:val="18"/>
          <w:lang w:eastAsia="pt-BR"/>
        </w:rPr>
        <w:t>, c/c o </w:t>
      </w:r>
      <w:hyperlink r:id="rId83" w:tgtFrame="_blank" w:history="1">
        <w:r w:rsidRPr="00592295">
          <w:rPr>
            <w:rFonts w:ascii="Arial" w:eastAsia="Times New Roman" w:hAnsi="Arial" w:cs="Arial"/>
            <w:color w:val="000080"/>
            <w:sz w:val="18"/>
            <w:szCs w:val="18"/>
            <w:u w:val="single"/>
            <w:lang w:eastAsia="pt-BR"/>
          </w:rPr>
          <w:t>Decreto nº 11.462, de 31 de março de 2023</w:t>
        </w:r>
      </w:hyperlink>
      <w:r w:rsidRPr="00592295">
        <w:rPr>
          <w:rFonts w:ascii="Arial" w:eastAsia="Times New Roman" w:hAnsi="Arial" w:cs="Arial"/>
          <w:color w:val="000000"/>
          <w:sz w:val="18"/>
          <w:szCs w:val="18"/>
          <w:lang w:eastAsia="pt-BR"/>
        </w:rPr>
        <w:t>,, e demais preceitos da legislação aplicável, e em conformidade com as disposições a seguir:</w:t>
      </w:r>
    </w:p>
    <w:p w14:paraId="408DE20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1- DO OBJETO</w:t>
      </w:r>
    </w:p>
    <w:p w14:paraId="1E25B051" w14:textId="77777777" w:rsidR="00C42B04" w:rsidRPr="00C42B04" w:rsidRDefault="003D577F" w:rsidP="00C42B04">
      <w:pPr>
        <w:pStyle w:val="TableParagraph"/>
        <w:spacing w:before="1"/>
        <w:ind w:left="22"/>
        <w:jc w:val="both"/>
        <w:rPr>
          <w:rFonts w:ascii="Arial" w:eastAsia="Times New Roman" w:hAnsi="Arial" w:cs="Arial"/>
          <w:b/>
          <w:bCs/>
          <w:color w:val="000000"/>
          <w:sz w:val="18"/>
          <w:szCs w:val="18"/>
          <w:lang w:eastAsia="pt-BR"/>
        </w:rPr>
      </w:pPr>
      <w:r w:rsidRPr="004A715D">
        <w:rPr>
          <w:rFonts w:ascii="Arial" w:eastAsia="Times New Roman" w:hAnsi="Arial" w:cs="Arial"/>
          <w:color w:val="000000"/>
          <w:sz w:val="18"/>
          <w:szCs w:val="18"/>
          <w:lang w:eastAsia="pt-BR"/>
        </w:rPr>
        <w:t xml:space="preserve">1.1. A presente Ata tem por objeto o registro de preços para a eventual contratação </w:t>
      </w:r>
      <w:r w:rsidR="00925530" w:rsidRPr="00AD38B3">
        <w:rPr>
          <w:rFonts w:ascii="Arial" w:eastAsia="Times New Roman" w:hAnsi="Arial" w:cs="Arial"/>
          <w:bCs/>
          <w:color w:val="000000"/>
          <w:sz w:val="18"/>
          <w:szCs w:val="18"/>
          <w:lang w:eastAsia="pt-BR"/>
        </w:rPr>
        <w:t>de</w:t>
      </w:r>
      <w:r w:rsidR="00925530" w:rsidRPr="00925530">
        <w:rPr>
          <w:rFonts w:ascii="Arial" w:hAnsi="Arial" w:cs="Arial"/>
          <w:color w:val="000000"/>
          <w:sz w:val="18"/>
          <w:szCs w:val="18"/>
        </w:rPr>
        <w:t> </w:t>
      </w:r>
      <w:r w:rsidR="00AD38B3">
        <w:rPr>
          <w:rFonts w:ascii="Arial" w:hAnsi="Arial" w:cs="Arial"/>
          <w:color w:val="000000"/>
          <w:sz w:val="18"/>
          <w:szCs w:val="18"/>
        </w:rPr>
        <w:t>XXXXXXXXXXXXXXXXXXXXXXXXXXXXXXXXXXXXXXXXXXXXXXXXXXXXXXXXXXXXXXXXXXXXXXXX</w:t>
      </w:r>
      <w:r w:rsidR="00925530" w:rsidRPr="00925530">
        <w:rPr>
          <w:rFonts w:ascii="Arial" w:hAnsi="Arial" w:cs="Arial"/>
          <w:color w:val="000000"/>
          <w:sz w:val="18"/>
          <w:szCs w:val="18"/>
        </w:rPr>
        <w:t xml:space="preserve">, cujas especificações constantes dos respectivos Estudos Técnicos Preliminares e Termo de Referência aprovo, considerado(s) bem(ns) comum(ns) por se tratar de material de uso técnico – hospitalar, com </w:t>
      </w:r>
      <w:r w:rsidR="00156EA7">
        <w:rPr>
          <w:rFonts w:ascii="Calibri" w:hAnsi="Calibri" w:cs="Calibri"/>
          <w:color w:val="000000"/>
        </w:rPr>
        <w:t>especificações usuais no mercado.</w:t>
      </w:r>
    </w:p>
    <w:p w14:paraId="26E9D19E" w14:textId="77777777" w:rsidR="006C4E22" w:rsidRPr="006C4E22" w:rsidRDefault="006C4E22" w:rsidP="002B1A21">
      <w:pPr>
        <w:pStyle w:val="TableParagraph"/>
        <w:spacing w:before="1"/>
        <w:ind w:left="22"/>
        <w:jc w:val="both"/>
        <w:rPr>
          <w:rFonts w:ascii="Arial" w:eastAsia="Times New Roman" w:hAnsi="Arial" w:cs="Arial"/>
          <w:b/>
          <w:bCs/>
          <w:color w:val="000000"/>
          <w:sz w:val="18"/>
          <w:szCs w:val="18"/>
          <w:lang w:eastAsia="pt-BR"/>
        </w:rPr>
      </w:pPr>
    </w:p>
    <w:p w14:paraId="731B6B1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2. DOS PREÇOS, ESPECIFICAÇÕES E QUANTITATIVOS</w:t>
      </w:r>
    </w:p>
    <w:p w14:paraId="7DE8699B" w14:textId="77777777" w:rsidR="00454BC0" w:rsidRPr="00592295" w:rsidRDefault="003D577F" w:rsidP="00454BC0">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 O preço registrado, as especificações do objeto, a quantidade mínima a ser cotada, a quantidade máxima de cada item que poderá ser contratada, fornecedor(es) e as demais condições ofertadas na(s) proposta(s) são as que seguem:</w:t>
      </w:r>
      <w:r w:rsidR="00454BC0" w:rsidRPr="00454BC0">
        <w:rPr>
          <w:rFonts w:ascii="Arial" w:eastAsia="Times New Roman" w:hAnsi="Arial" w:cs="Arial"/>
          <w:color w:val="000000"/>
          <w:sz w:val="18"/>
          <w:szCs w:val="18"/>
          <w:lang w:eastAsia="pt-BR"/>
        </w:rPr>
        <w:t xml:space="preserve"> </w:t>
      </w:r>
    </w:p>
    <w:tbl>
      <w:tblPr>
        <w:tblW w:w="9222" w:type="dxa"/>
        <w:tblCellMar>
          <w:top w:w="15" w:type="dxa"/>
          <w:left w:w="15" w:type="dxa"/>
          <w:bottom w:w="15" w:type="dxa"/>
          <w:right w:w="15" w:type="dxa"/>
        </w:tblCellMar>
        <w:tblLook w:val="04A0" w:firstRow="1" w:lastRow="0" w:firstColumn="1" w:lastColumn="0" w:noHBand="0" w:noVBand="1"/>
      </w:tblPr>
      <w:tblGrid>
        <w:gridCol w:w="1361"/>
        <w:gridCol w:w="1891"/>
        <w:gridCol w:w="711"/>
        <w:gridCol w:w="761"/>
        <w:gridCol w:w="591"/>
        <w:gridCol w:w="841"/>
        <w:gridCol w:w="801"/>
        <w:gridCol w:w="691"/>
        <w:gridCol w:w="1574"/>
      </w:tblGrid>
      <w:tr w:rsidR="00454BC0" w:rsidRPr="00592295" w14:paraId="5AFEFC5A" w14:textId="77777777" w:rsidTr="00454BC0">
        <w:tc>
          <w:tcPr>
            <w:tcW w:w="136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5828631B"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do TR</w:t>
            </w:r>
          </w:p>
        </w:tc>
        <w:tc>
          <w:tcPr>
            <w:tcW w:w="7861" w:type="dxa"/>
            <w:gridSpan w:val="8"/>
            <w:tcBorders>
              <w:top w:val="single" w:sz="6" w:space="0" w:color="000000"/>
              <w:left w:val="nil"/>
              <w:bottom w:val="single" w:sz="6" w:space="0" w:color="000000"/>
              <w:right w:val="single" w:sz="4" w:space="0" w:color="auto"/>
            </w:tcBorders>
            <w:tcMar>
              <w:top w:w="0" w:type="dxa"/>
              <w:left w:w="105" w:type="dxa"/>
              <w:bottom w:w="0" w:type="dxa"/>
              <w:right w:w="105" w:type="dxa"/>
            </w:tcMar>
            <w:hideMark/>
          </w:tcPr>
          <w:p w14:paraId="206EF022"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Fornecedor (razão social, CNPJ/MF, endereço, contatos, representante)</w:t>
            </w:r>
          </w:p>
        </w:tc>
      </w:tr>
      <w:tr w:rsidR="00454BC0" w:rsidRPr="00592295" w14:paraId="766CAF3F" w14:textId="77777777" w:rsidTr="00454BC0">
        <w:tc>
          <w:tcPr>
            <w:tcW w:w="1361"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0323E4C9"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hideMark/>
          </w:tcPr>
          <w:p w14:paraId="130CAF9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w:t>
            </w:r>
          </w:p>
        </w:tc>
        <w:tc>
          <w:tcPr>
            <w:tcW w:w="711" w:type="dxa"/>
            <w:tcBorders>
              <w:top w:val="nil"/>
              <w:left w:val="nil"/>
              <w:bottom w:val="single" w:sz="6" w:space="0" w:color="000000"/>
              <w:right w:val="single" w:sz="6" w:space="0" w:color="000000"/>
            </w:tcBorders>
            <w:tcMar>
              <w:top w:w="0" w:type="dxa"/>
              <w:left w:w="105" w:type="dxa"/>
              <w:bottom w:w="0" w:type="dxa"/>
              <w:right w:w="105" w:type="dxa"/>
            </w:tcMar>
            <w:hideMark/>
          </w:tcPr>
          <w:p w14:paraId="68B7F829"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761" w:type="dxa"/>
            <w:tcBorders>
              <w:top w:val="nil"/>
              <w:left w:val="nil"/>
              <w:bottom w:val="single" w:sz="6" w:space="0" w:color="000000"/>
              <w:right w:val="single" w:sz="6" w:space="0" w:color="000000"/>
            </w:tcBorders>
            <w:tcMar>
              <w:top w:w="0" w:type="dxa"/>
              <w:left w:w="105" w:type="dxa"/>
              <w:bottom w:w="0" w:type="dxa"/>
              <w:right w:w="105" w:type="dxa"/>
            </w:tcMar>
            <w:hideMark/>
          </w:tcPr>
          <w:p w14:paraId="74B82D5C"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w:t>
            </w:r>
          </w:p>
        </w:tc>
        <w:tc>
          <w:tcPr>
            <w:tcW w:w="591" w:type="dxa"/>
            <w:tcBorders>
              <w:top w:val="nil"/>
              <w:left w:val="nil"/>
              <w:bottom w:val="single" w:sz="6" w:space="0" w:color="000000"/>
              <w:right w:val="single" w:sz="6" w:space="0" w:color="000000"/>
            </w:tcBorders>
            <w:tcMar>
              <w:top w:w="0" w:type="dxa"/>
              <w:left w:w="105" w:type="dxa"/>
              <w:bottom w:w="0" w:type="dxa"/>
              <w:right w:w="105" w:type="dxa"/>
            </w:tcMar>
            <w:hideMark/>
          </w:tcPr>
          <w:p w14:paraId="58B114E9"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Und.</w:t>
            </w:r>
          </w:p>
        </w:tc>
        <w:tc>
          <w:tcPr>
            <w:tcW w:w="841" w:type="dxa"/>
            <w:tcBorders>
              <w:top w:val="nil"/>
              <w:left w:val="nil"/>
              <w:bottom w:val="single" w:sz="6" w:space="0" w:color="000000"/>
              <w:right w:val="single" w:sz="6" w:space="0" w:color="000000"/>
            </w:tcBorders>
            <w:tcMar>
              <w:top w:w="0" w:type="dxa"/>
              <w:left w:w="105" w:type="dxa"/>
              <w:bottom w:w="0" w:type="dxa"/>
              <w:right w:w="105" w:type="dxa"/>
            </w:tcMar>
            <w:hideMark/>
          </w:tcPr>
          <w:p w14:paraId="1C7C1D77"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Máxima</w:t>
            </w:r>
          </w:p>
        </w:tc>
        <w:tc>
          <w:tcPr>
            <w:tcW w:w="801" w:type="dxa"/>
            <w:tcBorders>
              <w:top w:val="nil"/>
              <w:left w:val="nil"/>
              <w:bottom w:val="single" w:sz="6" w:space="0" w:color="000000"/>
              <w:right w:val="single" w:sz="6" w:space="0" w:color="000000"/>
            </w:tcBorders>
            <w:tcMar>
              <w:top w:w="0" w:type="dxa"/>
              <w:left w:w="105" w:type="dxa"/>
              <w:bottom w:w="0" w:type="dxa"/>
              <w:right w:w="105" w:type="dxa"/>
            </w:tcMar>
            <w:hideMark/>
          </w:tcPr>
          <w:p w14:paraId="60832A8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Mínima</w:t>
            </w:r>
          </w:p>
        </w:tc>
        <w:tc>
          <w:tcPr>
            <w:tcW w:w="691" w:type="dxa"/>
            <w:tcBorders>
              <w:top w:val="nil"/>
              <w:left w:val="nil"/>
              <w:bottom w:val="single" w:sz="6" w:space="0" w:color="000000"/>
              <w:right w:val="single" w:sz="6" w:space="0" w:color="000000"/>
            </w:tcBorders>
            <w:tcMar>
              <w:top w:w="0" w:type="dxa"/>
              <w:left w:w="105" w:type="dxa"/>
              <w:bottom w:w="0" w:type="dxa"/>
              <w:right w:w="105" w:type="dxa"/>
            </w:tcMar>
            <w:hideMark/>
          </w:tcPr>
          <w:p w14:paraId="2302939F"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w:t>
            </w:r>
          </w:p>
        </w:tc>
        <w:tc>
          <w:tcPr>
            <w:tcW w:w="1574" w:type="dxa"/>
            <w:tcBorders>
              <w:top w:val="nil"/>
              <w:left w:val="nil"/>
              <w:bottom w:val="single" w:sz="6" w:space="0" w:color="000000"/>
              <w:right w:val="single" w:sz="4" w:space="0" w:color="auto"/>
            </w:tcBorders>
            <w:tcMar>
              <w:top w:w="0" w:type="dxa"/>
              <w:left w:w="105" w:type="dxa"/>
              <w:bottom w:w="0" w:type="dxa"/>
              <w:right w:w="105" w:type="dxa"/>
            </w:tcMar>
            <w:hideMark/>
          </w:tcPr>
          <w:p w14:paraId="34E5FECC"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Prazo de Validade</w:t>
            </w:r>
          </w:p>
        </w:tc>
      </w:tr>
      <w:tr w:rsidR="00454BC0" w:rsidRPr="00592295" w14:paraId="2E23ABFF" w14:textId="77777777" w:rsidTr="00305207">
        <w:trPr>
          <w:trHeight w:val="2340"/>
        </w:trPr>
        <w:tc>
          <w:tcPr>
            <w:tcW w:w="13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428C0D9B"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1: Código HC: XXXX</w:t>
            </w:r>
          </w:p>
          <w:p w14:paraId="11F2C7C2"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14:paraId="29E605CA"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14:paraId="7878E594"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14:paraId="510C5EBE"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629B8227"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2DCF7ED"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21FE5D5"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5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CC11910"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4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6EB4EF5"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0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C40E62C"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91" w:type="dxa"/>
            <w:tcBorders>
              <w:top w:val="nil"/>
              <w:left w:val="nil"/>
              <w:bottom w:val="single" w:sz="6" w:space="0" w:color="000000"/>
              <w:right w:val="single" w:sz="6" w:space="0" w:color="000000"/>
            </w:tcBorders>
            <w:tcMar>
              <w:top w:w="0" w:type="dxa"/>
              <w:left w:w="105" w:type="dxa"/>
              <w:bottom w:w="0" w:type="dxa"/>
              <w:right w:w="105" w:type="dxa"/>
            </w:tcMar>
            <w:vAlign w:val="center"/>
          </w:tcPr>
          <w:p w14:paraId="50CADF4E"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1574" w:type="dxa"/>
            <w:tcBorders>
              <w:top w:val="nil"/>
              <w:left w:val="nil"/>
              <w:bottom w:val="single" w:sz="6" w:space="0" w:color="000000"/>
              <w:right w:val="single" w:sz="4" w:space="0" w:color="auto"/>
            </w:tcBorders>
            <w:tcMar>
              <w:top w:w="0" w:type="dxa"/>
              <w:left w:w="105" w:type="dxa"/>
              <w:bottom w:w="0" w:type="dxa"/>
              <w:right w:w="105" w:type="dxa"/>
            </w:tcMar>
            <w:vAlign w:val="center"/>
          </w:tcPr>
          <w:p w14:paraId="11E58B74" w14:textId="77777777" w:rsidR="00454BC0" w:rsidRPr="00592295" w:rsidRDefault="00454BC0" w:rsidP="00454BC0">
            <w:pPr>
              <w:spacing w:after="165" w:line="240" w:lineRule="auto"/>
              <w:ind w:right="883"/>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r w:rsidR="00454BC0" w:rsidRPr="00592295" w14:paraId="79CCA9F5" w14:textId="77777777" w:rsidTr="00454BC0">
        <w:tc>
          <w:tcPr>
            <w:tcW w:w="13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298A1AB9"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Item </w:t>
            </w:r>
            <w:r>
              <w:rPr>
                <w:rFonts w:ascii="Arial" w:eastAsia="Times New Roman" w:hAnsi="Arial" w:cs="Arial"/>
                <w:color w:val="000000"/>
                <w:sz w:val="18"/>
                <w:szCs w:val="18"/>
                <w:lang w:eastAsia="pt-BR"/>
              </w:rPr>
              <w:t>2</w:t>
            </w:r>
            <w:r w:rsidRPr="00592295">
              <w:rPr>
                <w:rFonts w:ascii="Arial" w:eastAsia="Times New Roman" w:hAnsi="Arial" w:cs="Arial"/>
                <w:color w:val="000000"/>
                <w:sz w:val="18"/>
                <w:szCs w:val="18"/>
                <w:lang w:eastAsia="pt-BR"/>
              </w:rPr>
              <w:t>: Código HC: XXXX</w:t>
            </w:r>
          </w:p>
          <w:p w14:paraId="322FF0D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14:paraId="743651F2"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14:paraId="62F2B0D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14:paraId="13761E2A"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56FFBBD"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4194A45"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942ECEA"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5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1787C186"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4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E17F68A"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0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859E334"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91" w:type="dxa"/>
            <w:tcBorders>
              <w:top w:val="nil"/>
              <w:left w:val="nil"/>
              <w:bottom w:val="single" w:sz="6" w:space="0" w:color="000000"/>
              <w:right w:val="single" w:sz="6" w:space="0" w:color="000000"/>
            </w:tcBorders>
            <w:tcMar>
              <w:top w:w="0" w:type="dxa"/>
              <w:left w:w="105" w:type="dxa"/>
              <w:bottom w:w="0" w:type="dxa"/>
              <w:right w:w="105" w:type="dxa"/>
            </w:tcMar>
            <w:vAlign w:val="center"/>
          </w:tcPr>
          <w:p w14:paraId="7B6DF7E9"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1574" w:type="dxa"/>
            <w:tcBorders>
              <w:top w:val="nil"/>
              <w:left w:val="nil"/>
              <w:bottom w:val="single" w:sz="6" w:space="0" w:color="000000"/>
              <w:right w:val="single" w:sz="4" w:space="0" w:color="auto"/>
            </w:tcBorders>
            <w:tcMar>
              <w:top w:w="0" w:type="dxa"/>
              <w:left w:w="105" w:type="dxa"/>
              <w:bottom w:w="0" w:type="dxa"/>
              <w:right w:w="105" w:type="dxa"/>
            </w:tcMar>
            <w:vAlign w:val="center"/>
          </w:tcPr>
          <w:p w14:paraId="44CCA46C" w14:textId="77777777" w:rsidR="00454BC0" w:rsidRPr="00592295" w:rsidRDefault="00454BC0" w:rsidP="000520C3">
            <w:pPr>
              <w:spacing w:after="165" w:line="240" w:lineRule="auto"/>
              <w:ind w:right="883"/>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bl>
    <w:p w14:paraId="3BA11D55" w14:textId="77777777" w:rsidR="00454BC0" w:rsidRPr="00592295" w:rsidRDefault="00454BC0" w:rsidP="00454BC0">
      <w:pPr>
        <w:spacing w:after="165" w:line="240" w:lineRule="auto"/>
        <w:jc w:val="both"/>
        <w:rPr>
          <w:rFonts w:ascii="Arial" w:eastAsia="Times New Roman" w:hAnsi="Arial" w:cs="Arial"/>
          <w:color w:val="000000"/>
          <w:sz w:val="18"/>
          <w:szCs w:val="18"/>
          <w:lang w:eastAsia="pt-BR"/>
        </w:rPr>
      </w:pPr>
    </w:p>
    <w:p w14:paraId="2EEF0D23" w14:textId="77777777" w:rsidR="003D577F" w:rsidRPr="00592295" w:rsidRDefault="003D577F" w:rsidP="00454BC0">
      <w:pPr>
        <w:spacing w:after="165" w:line="240" w:lineRule="auto"/>
        <w:jc w:val="both"/>
        <w:rPr>
          <w:rFonts w:ascii="Arial" w:eastAsia="Times New Roman" w:hAnsi="Arial" w:cs="Arial"/>
          <w:color w:val="000000"/>
          <w:sz w:val="18"/>
          <w:szCs w:val="18"/>
          <w:lang w:eastAsia="pt-BR"/>
        </w:rPr>
      </w:pPr>
    </w:p>
    <w:p w14:paraId="23D7C797"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2.2 A listagem do cadastro de reserva referente ao presente registro de preços consta como anexo a esta Ata.</w:t>
      </w:r>
    </w:p>
    <w:p w14:paraId="2810B77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3. ÓRGÃO GERENCIADOR E PARTICIPANTE(S)</w:t>
      </w:r>
    </w:p>
    <w:p w14:paraId="245AE7E9"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3.1 O órgão gerenciador será o HCFMUSP</w:t>
      </w:r>
    </w:p>
    <w:p w14:paraId="4E7F986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3.2 Além do gerenciador, não há outros órgãos e entidades públicas participantes do registro de preços.</w:t>
      </w:r>
    </w:p>
    <w:p w14:paraId="1006A18E"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4. DA ADESÃO À ATA DE REGISTRO DE PREÇOS</w:t>
      </w:r>
    </w:p>
    <w:p w14:paraId="69707AE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 Durante a vigência desta ata de registro de preços, os órgãos e as entidades da Administração Pública estadual, distrital e municipal que não participaram do procedimento de intenção de registro de preços poderão aderir à ata na condição de não participantes, observados os limites e regras estabelecidos neste instrumento, bem como os seguintes requisitos:</w:t>
      </w:r>
    </w:p>
    <w:p w14:paraId="1B280A93"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apresentação de justificativa da vantagem da adesão, inclusive em situações de provável desabastecimento ou descontinuidade de serviço público;</w:t>
      </w:r>
    </w:p>
    <w:p w14:paraId="6A2A5947"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demonstração de que os valores registrados estão compatíveis com os valores praticados pelo mercado na forma do art. 23 da </w:t>
      </w:r>
      <w:hyperlink r:id="rId84"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e</w:t>
      </w:r>
    </w:p>
    <w:p w14:paraId="75AFFB9D"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consulta e aceitação prévias do órgão ou da entidade gerenciadora e do fornecedor.</w:t>
      </w:r>
    </w:p>
    <w:p w14:paraId="7B54BBC7"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4.2.1. A autorização do órgão ou entidade gerenciadora apenas será realizada após a aceitação da adesão pelo fornecedor.</w:t>
      </w:r>
    </w:p>
    <w:p w14:paraId="7CB4CA55"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4.2.1.1. O órgão ou entidade gerenciadora poderá rejeitar adesões caso elas possam acarretar prejuízo à execução de seus próprios contratos ou à sua capacidade de gerenciamento.</w:t>
      </w:r>
    </w:p>
    <w:p w14:paraId="3EC327A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4.2.2. Após a autorização do órgão ou entidade gerenciadora, o órgão ou entidade não participante deverá efetivar a contratação solicitada em até 90 (noventa) dias, observado o prazo de vigência da ata.</w:t>
      </w:r>
    </w:p>
    <w:p w14:paraId="5FD3EBA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4.2.3. O prazo para efetivar a contratação de que trata o subitem anterior poderá ser prorrogado excepcionalmente, mediante solicitação do órgão ou entidade não participante aceita pelo órgão ou entidade gerenciadora, desde que respeitado o limite temporal de vigência da ata de registro de preços.</w:t>
      </w:r>
    </w:p>
    <w:p w14:paraId="60037CC4"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4.2.4. O órgão ou entidade integrante da ata de registro de preços poderá aderir, na qualidade de não participante, a item(ns) para o(s) qual(is) não tenha quantitativo registrado, observados os requisitos deste item 4.</w:t>
      </w:r>
    </w:p>
    <w:p w14:paraId="00D66005"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4.2.5. É da competência do respectivo órgão ou entidade que tenha aderido à ata na condição de não participante, garantidos o contraditório e a ampla defesa, aplicar as penalidades decorrentes do descumprimento das obrigações contratuais, em relação à sua própria contratação, informando as ocorrências ao órgão ou entidade gerenciadora.</w:t>
      </w:r>
    </w:p>
    <w:p w14:paraId="3B2E5A1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Dos limites para as adesões</w:t>
      </w:r>
    </w:p>
    <w:p w14:paraId="7C43CA2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4.2.6. As contratações adicionais decorrentes das adesões não poderão exceder, por órgão ou entidade, a 50% (cinquenta por cento) dos quantitativos dos itens do instrumento convocatório registrados na ata de registro de preços para o órgão ou entidade gerenciadora e para os participantes.</w:t>
      </w:r>
    </w:p>
    <w:p w14:paraId="4FAF014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4.2.7. O quantitativo decorrente das adesões não poderá exceder, na totalidade, ao dobro do quantitativo de cada item registrado na ata de registro de preços para o órgão ou entidade gerenciadora e os participantes, independentemente do número de órgãos ou entidades não participantes que aderirem à ata de registro de preços.</w:t>
      </w:r>
    </w:p>
    <w:p w14:paraId="07D0C2C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5. VALIDADE, FORMALIZAÇÃO DA ATA DE REGISTRO DE PREÇOS E CADASTRO RESERVA</w:t>
      </w:r>
    </w:p>
    <w:p w14:paraId="6ECE33A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 O prazo de vigência e validade da Ata de Registro de Preços será de 1 (um) ano, contado a partir do primeiro dia útil subsequente à data de divulgação no Portal Nacional de Contratações Públicas (PNCP), podendo ser prorrogada por igual período, mediante a anuência do fornecedor, desde que comprovado o preço vantajoso.</w:t>
      </w:r>
    </w:p>
    <w:p w14:paraId="77A046D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5.1.1. A contratação decorrente da ata de registro de preços terá sua vigência estabelecida no próprio instrumento contratual e serão observadas, no momento da contratação e a cada exercício financeiro, a disponibilidade de créditos orçamentários, bem como a previsão no plano plurianual, quando ultrapassar 1 (um) exercício financeiro.</w:t>
      </w:r>
    </w:p>
    <w:p w14:paraId="5ACA705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5.1.2. Na formalização do instrumento da contratação deverá haver a indicação da disponibilidade dos créditos orçamentários respectivos.</w:t>
      </w:r>
    </w:p>
    <w:p w14:paraId="2345539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5.2. A formalização da contratação com os fornecedores registrados nesta ata de registro de preços deverá ocorrer no prazo de validade deste instrumento.</w:t>
      </w:r>
    </w:p>
    <w:p w14:paraId="35A3827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5.3. Os contratos decorrentes do sistema de registro de preços poderão ser alterados, observado o art. 124 da </w:t>
      </w:r>
      <w:hyperlink r:id="rId85"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t>
      </w:r>
    </w:p>
    <w:p w14:paraId="5CD20B0A"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5.4. A</w:t>
      </w:r>
      <w:bookmarkStart w:id="21" w:name="cadastro_reserva"/>
      <w:bookmarkEnd w:id="21"/>
      <w:r w:rsidRPr="00592295">
        <w:rPr>
          <w:rFonts w:ascii="Arial" w:eastAsia="Times New Roman" w:hAnsi="Arial" w:cs="Arial"/>
          <w:color w:val="000000"/>
          <w:sz w:val="18"/>
          <w:szCs w:val="18"/>
          <w:lang w:eastAsia="pt-BR"/>
        </w:rPr>
        <w:t>s contratações respeitarão a ordem de classificação dos fornecedores registrados nesta ata.</w:t>
      </w:r>
    </w:p>
    <w:p w14:paraId="00FE74B9"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5.5. O registro de fornecedores incluído nesta ata na forma de anexo, quando for o caso, consiste na formação de cadastro de reserva para o caso de impossibilidade de atendimento pelo signatário da ata.</w:t>
      </w:r>
    </w:p>
    <w:p w14:paraId="3CD09AE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5.6. A fase de apresentação de amostra(s) ou de execução de prova de conceito que seja exigida na documentação que integra o instrumento convocatório, quando houver, e a habilitação dos fornecedores que compõem o cadastro de reserva, quando for o caso, serão efetuadas quando houver necessidade de contratação dos fornecedores remanescentes, por impossibilidade de atendimento da demanda pelo signatário da ata, observada a disciplina estabelecida nesta ata e no instrumento convocatório mencionado no subitem 1.1.</w:t>
      </w:r>
      <w:bookmarkStart w:id="22" w:name="habilitacao_reserva"/>
      <w:bookmarkEnd w:id="22"/>
    </w:p>
    <w:p w14:paraId="29D249A9"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5.7. O preço registrado, com indicação dos fornecedores, será divulgado no PNCP e ficará disponibilizado durante a vigência desta ata de registro de preços.</w:t>
      </w:r>
    </w:p>
    <w:p w14:paraId="0360A5E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5.8. Caso se caracterize hipótese de impossibilidade de atendimento da demanda pelo signatário da ata de que trata o item 5.6, observado o disposto no referido item, ficará facultado à Administração convocar os fornecedores remanescentes do cadastro de reserva, quando houver, na ordem de classificação, para contratação nas condições propostas pelo primeiro classificado.</w:t>
      </w:r>
      <w:bookmarkStart w:id="23" w:name="recusa_dos_que_baixaram_preco"/>
      <w:bookmarkEnd w:id="23"/>
    </w:p>
    <w:p w14:paraId="2DC82EC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5.8.1. </w:t>
      </w:r>
      <w:r w:rsidRPr="00592295">
        <w:rPr>
          <w:rFonts w:ascii="Arial" w:eastAsia="Times New Roman" w:hAnsi="Arial" w:cs="Arial"/>
          <w:color w:val="000000"/>
          <w:sz w:val="18"/>
          <w:szCs w:val="18"/>
          <w:lang w:eastAsia="pt-BR"/>
        </w:rPr>
        <w:t>Na hipótese de nenhum dos fornecedores que aceitaram cotar o objeto com preço igual ao do adjudicatário concordar com a contratação nas condições propostas pelo primeiro classificado nos termos do subitem anterior, a Administração, observados o valor estimado e sua eventual atualização na forma prevista na documentação que integra o instrumento convocatório mencionado no subitem 1.1, poderá:</w:t>
      </w:r>
    </w:p>
    <w:p w14:paraId="73B88A05"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5.8.1.1. Convocar para negociação os fornecedores remanescentes que mantiveram sua proposta original, quando houver, na ordem de classificação, com vistas à obtenção de preço melhor, mesmo que acima do preço do adjudicatário;</w:t>
      </w:r>
    </w:p>
    <w:p w14:paraId="0993E55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5.8.1.2. Adjudicar e celebrar a contratação nas condições ofertadas pelos fornecedores remanescentes, observado o disposto neste item 5 e a ordem de classificação, quando frustrada a negociação de melhor condição.</w:t>
      </w:r>
    </w:p>
    <w:p w14:paraId="09D125E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5.9. A existência de preços registrados implicará compromisso de fornecimento nas condições estabelecidas, mas não obrigará a Administração a contratar, facultada a realização de licitação específica para a contratação pretendida, desde que devidamente justificada.</w:t>
      </w:r>
    </w:p>
    <w:p w14:paraId="37A6C6D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5.10. No prazo de validade deste instrumento, o(s) órgão(s) ou entidade(s) participante(s) não participará(ão) em outra ata de registro de preços com o mesmo objeto, salvo na hipótese do inciso VIII do </w:t>
      </w:r>
      <w:r w:rsidRPr="00592295">
        <w:rPr>
          <w:rFonts w:ascii="Arial" w:eastAsia="Times New Roman" w:hAnsi="Arial" w:cs="Arial"/>
          <w:i/>
          <w:iCs/>
          <w:color w:val="000000"/>
          <w:sz w:val="18"/>
          <w:szCs w:val="18"/>
          <w:lang w:eastAsia="pt-BR"/>
        </w:rPr>
        <w:t>caput</w:t>
      </w:r>
      <w:r w:rsidRPr="00592295">
        <w:rPr>
          <w:rFonts w:ascii="Arial" w:eastAsia="Times New Roman" w:hAnsi="Arial" w:cs="Arial"/>
          <w:color w:val="000000"/>
          <w:sz w:val="18"/>
          <w:szCs w:val="18"/>
          <w:lang w:eastAsia="pt-BR"/>
        </w:rPr>
        <w:t> do art. 82 da </w:t>
      </w:r>
      <w:hyperlink r:id="rId86"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quando for o caso.</w:t>
      </w:r>
    </w:p>
    <w:p w14:paraId="1427C083"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6. ALTERAÇÃO OU ATUALIZAÇÃO DOS PREÇOS REGISTRADOS</w:t>
      </w:r>
    </w:p>
    <w:p w14:paraId="54112C3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 Os preços registrados poderão ser alterados em decorrência de eventual redução dos preços praticados no mercado ou de fato que eleve o custo do(s) item(ns) registrado(s), nas seguintes situações:</w:t>
      </w:r>
    </w:p>
    <w:p w14:paraId="31DA36E3"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em caso de força maior, caso fortuito ou fato do príncipe ou em decorrência de fatos imprevisíveis ou previsíveis de consequências incalculáveis, que inviabilizem a execução da ata tal como pactuada, nos termos da alínea “d” do inciso II do caput do art. 124 da </w:t>
      </w:r>
      <w:hyperlink r:id="rId87"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t>
      </w:r>
    </w:p>
    <w:p w14:paraId="1B78747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em caso de criação, alteração ou extinção de quaisquer tributos ou encargos legais ou da superveniência de disposições legais, com comprovada repercussão sobre os preços registrados.</w:t>
      </w:r>
    </w:p>
    <w:p w14:paraId="7717BB95"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 É previsto reajustamento dos preços registrados nesta ata, observados os mesmos critérios estabelecidos no instrumento convocatório mencionado no subitem 1.1 para o reajustamento dos preços de eventual contratação dela decorrente.</w:t>
      </w:r>
    </w:p>
    <w:p w14:paraId="64844D9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 Caso seja realizado reajustamento dos preços desta ata, somente caberá reajustamento dos preços de eventual contratação dela decorrente se forem observados os requisitos especificados no respectivo instrumento, e for ultrapassado o interregno mínimo de 1 (um) ano contado a partir dos efeitos do reajustamento dos preços desta ata. No caso de reajustamento(s) subsequente(s) ao primeiro, o interregno mínimo de 1 (um) ano será contado a partir dos efeitos do último reajustamento.</w:t>
      </w:r>
    </w:p>
    <w:p w14:paraId="42A1B3D5"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Vedação a acréscimo de quantitativos</w:t>
      </w:r>
    </w:p>
    <w:p w14:paraId="507CD6A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6.3. É vedado:</w:t>
      </w:r>
    </w:p>
    <w:p w14:paraId="6042E00A"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efetuar acréscimos nos quantitativos fixados nesta ata de registro de preços;</w:t>
      </w:r>
    </w:p>
    <w:p w14:paraId="0099BBA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restabelecer os quantitativos que já tenham sido contratados desta ata de registro de preços quando da prorrogação de que trata o item 5.1.</w:t>
      </w:r>
    </w:p>
    <w:p w14:paraId="24C084E1" w14:textId="77777777" w:rsidR="00AD38B3" w:rsidRDefault="00AD38B3" w:rsidP="00085078">
      <w:pPr>
        <w:spacing w:after="165" w:line="240" w:lineRule="auto"/>
        <w:jc w:val="both"/>
        <w:rPr>
          <w:rFonts w:ascii="Arial" w:eastAsia="Times New Roman" w:hAnsi="Arial" w:cs="Arial"/>
          <w:b/>
          <w:bCs/>
          <w:color w:val="000000"/>
          <w:sz w:val="18"/>
          <w:szCs w:val="18"/>
          <w:lang w:eastAsia="pt-BR"/>
        </w:rPr>
      </w:pPr>
    </w:p>
    <w:p w14:paraId="08B680B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7. NEGOCIAÇÃO DE PREÇOS REGISTRADOS</w:t>
      </w:r>
    </w:p>
    <w:p w14:paraId="5C74845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 Quando, por motivo superveniente, o preço registrado se tornar superior àquele praticado no mercado, o órgão ou entidade gerenciadora convocará o fornecedor para negociar a sua redução.</w:t>
      </w:r>
    </w:p>
    <w:p w14:paraId="7D060B54"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7.1.1. Quando for exitosa a negociação a que alude o subitem anterior, o órgão ou entidade gerenciadora comunicará o novo preço aos órgãos e entidades que tiverem firmado contratos decorrentes da ata de registro de preços, para que realizem negociação com vistas à alteração contratual, observado o disposto no art. 124 da </w:t>
      </w:r>
      <w:hyperlink r:id="rId88"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t>
      </w:r>
    </w:p>
    <w:p w14:paraId="6BED987D"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 O fornecedor será liberado do compromisso assumido quanto ao item registrado, sem aplicação de penalidades administrativas, caso não aceite reduzir seu preço aos valores praticados pelo mercado.</w:t>
      </w:r>
    </w:p>
    <w:p w14:paraId="14FFE0B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7.1.2.1. Na hipótese prevista no subitem anterior, o órgão ou entidade gerenciadora convocará os fornecedores do cadastro de reserva, na ordem de classificação, para verificar se aceitam reduzir seus preços aos valores de mercado, observado o disposto no subitem 9.1.3.</w:t>
      </w:r>
    </w:p>
    <w:p w14:paraId="375D405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7.1.2.1.1. O órgão ou entidade gerenciadora cancelará a ata de registro de preços, nos termos do disposto no item 9.2, e adotará as medidas cabíveis para a obtenção de contratação mais vantajosa, caso, nas negociações a que alude o subitem anterior, os fornecedores do cadastro de reserva não aceitem reduzir seus preços aos valores de mercado.</w:t>
      </w:r>
    </w:p>
    <w:p w14:paraId="0F7B5F9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 Quando o preço praticado no mercado se tornar superior ao preço registrado, o fornecedor poderá requerer ao órgão ou entidade gerenciadora a alteração do preço registrado, desde que observe os requisitos especificados no subitem 7.2.1.</w:t>
      </w:r>
    </w:p>
    <w:p w14:paraId="0B0E1C77"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7.2.1. O requerimento a que alude o subitem 7.2 deverá observar o disposto no subitem 6.1 e estar acompanhado de:</w:t>
      </w:r>
    </w:p>
    <w:p w14:paraId="3766AC17"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prova de fato superveniente que impossibilite o cumprimento do compromisso registrado nesta ata;</w:t>
      </w:r>
    </w:p>
    <w:p w14:paraId="78E4C44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documentação comprobatória da inviabilidade de manutenção do preço registrado.</w:t>
      </w:r>
    </w:p>
    <w:p w14:paraId="7B4B7E8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7.2.2. Na hipótese de não comprovação dos requisitos especificados nos subitens 7.2 e 7.2.1:</w:t>
      </w:r>
    </w:p>
    <w:p w14:paraId="1A4323F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o pedido será indeferido pelo órgão ou entidade gerenciadora;</w:t>
      </w:r>
    </w:p>
    <w:p w14:paraId="1CC7A9DA"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o fornecedor deverá cumprir o compromisso registrado na ata sob pena de cancelamento do seu registro, nos termos do subitem 9.1, sem prejuízo da aplicação das sanções cabíveis, em especial aquelas previstas na </w:t>
      </w:r>
      <w:hyperlink r:id="rId89"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32CBD1F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7.2.3. Quando realizado o cancelamento do registro do fornecedor a que alude a alínea “b” do subitem 7.2.2, o órgão ou entidade gerenciadora convocará os fornecedores do cadastro de reserva, na ordem de classificação, para verificar se aceitam manter seus preços registrados, observado o disposto no subitem 5.6.</w:t>
      </w:r>
    </w:p>
    <w:p w14:paraId="50437674"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7.2.3.1. O órgão ou entidade gerenciadora cancelará a ata de registro de preços, nos termos do subitem 9.2, e adotará as medidas cabíveis para a obtenção da contratação mais vantajosa, caso não obtenha êxito nas negociações a que alude o subitem anterior.</w:t>
      </w:r>
    </w:p>
    <w:p w14:paraId="47242C0A"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7.2.4. Quando forem comprovados os requisitos estabelecidos nos subitens 7.2 e 7.2.1, o órgão ou entidade gerenciadora:</w:t>
      </w:r>
    </w:p>
    <w:p w14:paraId="51BA44B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alterará o preço registrado, observados os valores praticados pelo mercado, no limite do impacto causado pelos fatos supervenientes ensejadores da inviabilidade de manutenção do preço inicial;</w:t>
      </w:r>
    </w:p>
    <w:p w14:paraId="71E9F19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comunicará o novo preço aos órgãos e entidades que tiverem firmado contratos decorrentes desta ata de registro de preços, para eventual alteração contratual, observado o disposto no art. 124 da </w:t>
      </w:r>
      <w:hyperlink r:id="rId90"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36E6565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8. REMANEJAMENTO DAS QUANTIDADES REGISTRADAS NA ATA DE REGISTRO DE PREÇOS</w:t>
      </w:r>
    </w:p>
    <w:p w14:paraId="3D8C419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 As quantidades previstas para os itens com preços registrados nesta ata de registro de preços poderão ser remanejadas pelo órgão ou entidade gerenciadora entre os órgãos ou entidades participantes do registro de preços e, órgãos ou entidades não participantes, nas seguintes condições:</w:t>
      </w:r>
    </w:p>
    <w:p w14:paraId="48BE32B3"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de órgão ou entidade participante para órgão ou entidade participante; ou</w:t>
      </w:r>
    </w:p>
    <w:p w14:paraId="43ABD0D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de órgão ou entidade participante para órgão ou entidade não participante, caso seja, hipótese em que serão observados os limites previstos no art. 86 da </w:t>
      </w:r>
      <w:hyperlink r:id="rId91"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3178DEAB"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8.2. O órgão ou entidade gerenciadora que tiver estimado as quantidades que pretende contratar será considerado participante para fins do remanejamento.</w:t>
      </w:r>
    </w:p>
    <w:p w14:paraId="05030FEE"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8.3. O órgão ou entidade gerenciadora somente autorizará o remanejamento solicitado que seja justificado pelo solicitante, se houver prévia anuência do fornecedor e do órgão ou entidade que sofrer redução dos quantitativos informados.</w:t>
      </w:r>
    </w:p>
    <w:p w14:paraId="6186CDB7"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9. CANCELAMENTO DO REGISTRO DO LICITANTE VENCEDOR E DOS PREÇOS REGISTRADOS</w:t>
      </w:r>
    </w:p>
    <w:p w14:paraId="0B8EBE6D"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 O órgão ou entidade gerenciadora cancelará o registro do fornecedor quando este:</w:t>
      </w:r>
    </w:p>
    <w:p w14:paraId="7E2C000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a) descumprir as condições da ata de registro de preços, sem motivo justificado;</w:t>
      </w:r>
    </w:p>
    <w:p w14:paraId="79095791"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se recusar a formalizar a contratação no prazo e condições estabelecidos pela Administração sem justificativa aceitável;</w:t>
      </w:r>
    </w:p>
    <w:p w14:paraId="767145D7"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não aceitar manter seu preço registrado, na hipótese prevista no subitem 7.2.2; ou</w:t>
      </w:r>
    </w:p>
    <w:p w14:paraId="7291462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 for apenado com sanção prevista no inciso III do caput do art. 156 da </w:t>
      </w:r>
      <w:hyperlink r:id="rId92"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 aplicada no âmbito da Administração Pública do Estado de São Paulo, ou sanção prevista no inciso IV do caput do mesmo artigo.</w:t>
      </w:r>
    </w:p>
    <w:p w14:paraId="4A3D72E1"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 Na hipótese a que alude a alínea “d” do subitem anterior, caso a penalidade aplicada ao fornecedor não ultrapasse o prazo de vigência desta ata de registro de preços, o órgão ou entidade gerenciadora poderá, mediante decisão fundamentada, decidir pela manutenção do registro de preços, sendo vedadas novas contratações derivadas desta ata enquanto perdurarem os efeitos da sanção.</w:t>
      </w:r>
    </w:p>
    <w:p w14:paraId="326CEF71"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9.1.2. O cancelamento de registros nas hipóteses previstas no subitem 9.1 será formalizado por despacho do órgão ou da entidade gerenciadora, garantidos o contraditório e a ampla defesa.</w:t>
      </w:r>
    </w:p>
    <w:p w14:paraId="182A8364"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9.1.3. Quando for cancelado o registro do fornecedor, o órgão ou entidade gerenciadora poderá convocar os fornecedores que compõem o cadastro de reserva, observados a ordem de classificação e o disposto no subitem 5.6.</w:t>
      </w:r>
    </w:p>
    <w:p w14:paraId="31FF55CA"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9.1.4. O órgão ou entidade participante deverá informar ao órgão ou entidade gerenciadora qualquer das ocorrências previstas no subitem 9.1, dada a necessidade de instauração de procedimento para cancelamento do registro do fornecedor.</w:t>
      </w:r>
    </w:p>
    <w:p w14:paraId="2B8B04A5"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9.2. O órgão ou entidade gerenciadora poderá, justificadamente, cancelar, total ou parcialmente, os preços registrados nesta ata de registro de preços:</w:t>
      </w:r>
    </w:p>
    <w:p w14:paraId="0F3DF4C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por razão de interesse público;</w:t>
      </w:r>
    </w:p>
    <w:p w14:paraId="56E3362D"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a pedido do fornecedor, à vista de prova da ocorrência superveniente de caso fortuito ou força maior que impossibilitem o cumprimento do compromisso registrado; ou</w:t>
      </w:r>
    </w:p>
    <w:p w14:paraId="65A240AD"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se não houver êxito nas negociações, nos termos dos subitens 7.1.2.1.1 e 7.2.3.1.</w:t>
      </w:r>
    </w:p>
    <w:p w14:paraId="1C980F0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10. DAS PENALIDADES</w:t>
      </w:r>
    </w:p>
    <w:p w14:paraId="1084714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 O descumprimento desta Ata de Registro de Preços ensejará aplicação das penalidades estabelecidas no instrumento convocatório mencionado no subitem 1.1, garantidos o contraditório e a ampla defesa.</w:t>
      </w:r>
    </w:p>
    <w:p w14:paraId="43F9A6ED"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10.1.1. As sanções cabíveis também se aplicam aos integrantes do cadastro de reserva no registro de preços que, convocados, não honrarem o compromisso assumido injustificadamente.</w:t>
      </w:r>
    </w:p>
    <w:p w14:paraId="5B85A38B"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10.2. É da competência do órgão ou entidade gerenciadora, garantidos o contraditório e a ampla defesa, aplicar as penalidades decorrentes do descumprimento do pactuado nesta ata de registro de preço, em relação à sua demanda registrada, ou do descumprimento das obrigações contratuais, em relação às suas próprias contratações.</w:t>
      </w:r>
    </w:p>
    <w:p w14:paraId="30DFF65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10.3. É da competência do respectivo órgão ou entidade participante, garantidos o contraditório e a ampla defesa, aplicar as penalidades decorrentes do descumprimento do pactuado nesta ata de registro de preços, em relação à sua demanda registrada, ou do descumprimento das obrigações contratuais, em relação às suas próprias contratações.</w:t>
      </w:r>
    </w:p>
    <w:p w14:paraId="1AFA688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10.4. O órgão ou entidade participante deverá informar ao órgão ou entidade gerenciadora as ocorrências de que trata o subitem 9.1.4, para a finalidade indicada nessa disposição.</w:t>
      </w:r>
    </w:p>
    <w:p w14:paraId="138A0095"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11. CONDIÇÕES GERAIS</w:t>
      </w:r>
    </w:p>
    <w:p w14:paraId="3045044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 Os fornecedores registrados nesta ata de registro de preços estarão obrigados a celebrar as contratações que dela poderão advir nas condições estabelecidas, observado o disposto no instrumento convocatório mencionado no item 1.1 e neste instrumento.</w:t>
      </w:r>
    </w:p>
    <w:p w14:paraId="62C31CAB"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11.1.1. </w:t>
      </w:r>
      <w:r w:rsidRPr="00592295">
        <w:rPr>
          <w:rFonts w:ascii="Arial" w:eastAsia="Times New Roman" w:hAnsi="Arial" w:cs="Arial"/>
          <w:color w:val="000000"/>
          <w:sz w:val="18"/>
          <w:szCs w:val="18"/>
          <w:lang w:eastAsia="pt-BR"/>
        </w:rPr>
        <w:t>A existência de preços registrados não obriga a Administração a celebrar contratações decorrentes desta ata de registro de preços, observando-se o disposto no item 5.9.</w:t>
      </w:r>
    </w:p>
    <w:p w14:paraId="722FC16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 A contratação com os fornecedores registrados nesta ata será formalizada pelo órgão ou entidade interessada mediante a emissão de nota de empenho e, se eventualmente requisitado pelo HCFMUSP, a assinatura de termo de contrato, cuja minuta integra como Anexo o instrumento convocatório mencionado no item 1.1.</w:t>
      </w:r>
    </w:p>
    <w:p w14:paraId="2D1AB0B5"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11.2.1. Se, por ocasião da formalização da contratação, algum dos documentos apresentados pelo fornecedor para fins de comprovação das condições de habilitação estiver com o prazo de validade expirado, o órgão ou entidade interessada verificará a situação por meio eletrônico hábil de informações e certificará a regularidade nos autos do processo, anexando a ele os documentos comprobatórios, salvo impossibilidade devidamente justificada.</w:t>
      </w:r>
    </w:p>
    <w:p w14:paraId="73F9DD01"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11.2.2. Se não for possível atualizar os documentos referidos no subitem anterior por meio eletrônico hábil de informações, o fornecedor será notificado para, no prazo de </w:t>
      </w:r>
      <w:r w:rsidRPr="00592295">
        <w:rPr>
          <w:rFonts w:ascii="Arial" w:eastAsia="Times New Roman" w:hAnsi="Arial" w:cs="Arial"/>
          <w:i/>
          <w:iCs/>
          <w:color w:val="000000"/>
          <w:sz w:val="18"/>
          <w:szCs w:val="18"/>
          <w:lang w:eastAsia="pt-BR"/>
        </w:rPr>
        <w:t>02 (dois) dias úteis</w:t>
      </w:r>
      <w:r w:rsidRPr="00592295">
        <w:rPr>
          <w:rFonts w:ascii="Arial" w:eastAsia="Times New Roman" w:hAnsi="Arial" w:cs="Arial"/>
          <w:color w:val="000000"/>
          <w:sz w:val="18"/>
          <w:szCs w:val="18"/>
          <w:lang w:eastAsia="pt-BR"/>
        </w:rPr>
        <w:t>, comprovar a sua situação de regularidade mediante a apresentação das certidões respectivas com prazos de validade em vigência, sob pena de a contratação não se realizar.</w:t>
      </w:r>
    </w:p>
    <w:p w14:paraId="53A0539E"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11.3.3. Constitui condição para a celebração da contratação, bem como para a realização dos pagamentos dela decorrentes, a inexistência de registros em nome do fornecedor no “Cadastro Informativo dos Créditos não Quitados de Órgãos e Entidades Estaduais– CADIN ESTADUAL”. Esta condição será considerada cumprida se o devedor comprovar que os respectivos registros se encontram suspensos, nos termos do art. 8º, §§ 1º e 2º, da </w:t>
      </w:r>
      <w:hyperlink r:id="rId93" w:tgtFrame="_blank" w:history="1">
        <w:r w:rsidRPr="00592295">
          <w:rPr>
            <w:rFonts w:ascii="Arial" w:eastAsia="Times New Roman" w:hAnsi="Arial" w:cs="Arial"/>
            <w:color w:val="000080"/>
            <w:sz w:val="18"/>
            <w:szCs w:val="18"/>
            <w:u w:val="single"/>
            <w:lang w:eastAsia="pt-BR"/>
          </w:rPr>
          <w:t>Lei estadual nº 12.799, de 2008</w:t>
        </w:r>
      </w:hyperlink>
      <w:r w:rsidRPr="00592295">
        <w:rPr>
          <w:rFonts w:ascii="Arial" w:eastAsia="Times New Roman" w:hAnsi="Arial" w:cs="Arial"/>
          <w:color w:val="000000"/>
          <w:sz w:val="18"/>
          <w:szCs w:val="18"/>
          <w:lang w:eastAsia="pt-BR"/>
        </w:rPr>
        <w:t>.</w:t>
      </w:r>
    </w:p>
    <w:p w14:paraId="48B4AFB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11.2.4. Com a finalidade de verificar se o fornecedor mantém as condições de participação no certame, serão novamente consultados, previamente à celebração da contratação, os cadastros especificados no instrumento convocatório mencionado no item 1.1.</w:t>
      </w:r>
    </w:p>
    <w:p w14:paraId="56C6A93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11.2.5. Constitui(em), igualmente, condição(ões) para a celebração da contratação:</w:t>
      </w:r>
    </w:p>
    <w:p w14:paraId="1E57A99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11.2.5.1. a apresentação do(s) documento(s) que o fornecedor, à época do certame, houver se comprometido a exibir por ocasião da celebração da contratação por meio de declaração específica, caso exigida na documentação que integra como Anexo o instrumento convocatório mencionado no item 1.1;</w:t>
      </w:r>
    </w:p>
    <w:p w14:paraId="24118ED9"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 O fornecedor terá o prazo de 3 (três) dias, contados a partir da data do envio, para confirmar o seu envio por meio eletrônico da nota de empenho, sob pena de decadência, sem prejuízo das sanções previstas na </w:t>
      </w:r>
      <w:hyperlink r:id="rId94"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 A ausência de envio de confirmação de recebimento dentro do prazo previsto neste subitem importará na recusa à contratação, sujeita à aplicação das sanções cabíveis.</w:t>
      </w:r>
    </w:p>
    <w:p w14:paraId="50A1ECE1"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 O fornecedor terá o prazo de 3 (três) dias, contados a partir da data de sua convocação, se houver, para assinar o Termo de Contrato, sob pena de decadência, sem prejuízo das sanções previstas na Lei nº 14.133, de 2021.</w:t>
      </w:r>
    </w:p>
    <w:p w14:paraId="6F09499B"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11.5.1.1. O contrato será assinado com a utilização de meio eletrônico, nos termos da legislação aplicável.</w:t>
      </w:r>
    </w:p>
    <w:p w14:paraId="52599F4A"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11.5.1.2. O prazo para assinatura previsto no subitem anterior poderá ser prorrogado por igual período por solicitação justificada do interessado e aceita pela Administração.</w:t>
      </w:r>
    </w:p>
    <w:p w14:paraId="5340CDF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11.5.1.3</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Será considerado celebrado o contrato, em caso de assinaturas por meio eletrônico em datas diferentes, na data da última assinatura eletrônica das partes do termo contratual.</w:t>
      </w:r>
    </w:p>
    <w:p w14:paraId="7829A49D"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11.6. As condições gerais de execução do objeto, tais como os prazos para entrega e recebimento, as obrigações da Administração e do fornecedor registrado, penalidades e demais condições do ajuste, encontram-se definidos na documentação que integra o instrumento convocatório mencionado no item 1.1.</w:t>
      </w:r>
    </w:p>
    <w:p w14:paraId="709D03DB"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11.7. No caso de adjudicação por preço global de grupo de itens, só será admitida a contratação de item(ns) específico(s) do grupo se houver prévia pesquisa de mercado e demonstração de sua vantagem para o órgão ou entidade.</w:t>
      </w:r>
    </w:p>
    <w:p w14:paraId="52A9ED41"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11.8. Para firmeza e validade do pactuado, a presente Ata foi lavrada em 1 (uma) via, que, depois de lida e achada em ordem, vai assinada pelo(a) representante do órgão ou entidade gerenciadora e pelo(as) representante(s) do(s) fornecedor(es) registrado(s), e por testemunhas, todos abaixo identificados</w:t>
      </w:r>
      <w:r w:rsidRPr="00592295">
        <w:rPr>
          <w:rFonts w:ascii="Arial" w:eastAsia="Times New Roman" w:hAnsi="Arial" w:cs="Arial"/>
          <w:i/>
          <w:iCs/>
          <w:color w:val="000000"/>
          <w:sz w:val="18"/>
          <w:szCs w:val="18"/>
          <w:lang w:eastAsia="pt-BR"/>
        </w:rPr>
        <w:t>.</w:t>
      </w:r>
    </w:p>
    <w:p w14:paraId="5BFFCAD3"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7F14F649"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São Paulo _____/_____/20_____</w:t>
      </w:r>
    </w:p>
    <w:p w14:paraId="62395577"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EMPRESA:</w:t>
      </w:r>
    </w:p>
    <w:p w14:paraId="4C909550"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CNPJ Nº:</w:t>
      </w:r>
    </w:p>
    <w:p w14:paraId="61BD0B28"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RESPONSÁVEL LEGAL:</w:t>
      </w:r>
    </w:p>
    <w:p w14:paraId="2C61E95B"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Representante(s) legal(is) do(s) fornecedor(s) registrado(s)</w:t>
      </w:r>
    </w:p>
    <w:p w14:paraId="43420A25"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578C0F39"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ÓRGÃO GERENCIADOR:</w:t>
      </w:r>
    </w:p>
    <w:p w14:paraId="3330D91F"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HCFMUSP</w:t>
      </w:r>
    </w:p>
    <w:p w14:paraId="740644D0"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2F8AD580"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SUPERINTENDENTE</w:t>
      </w:r>
    </w:p>
    <w:p w14:paraId="7C2D65BD"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74A5067B"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79F6A294"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ÓRGÃOS TÉCNICOS:</w:t>
      </w:r>
    </w:p>
    <w:p w14:paraId="05C7F863"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6390A1BD"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NEF - NÚCLEO ECONÔMICO FINANCEIRO</w:t>
      </w:r>
    </w:p>
    <w:p w14:paraId="3E99BD35"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2F74EB9F" w14:textId="279B0B17" w:rsidR="003D577F" w:rsidRDefault="003D577F" w:rsidP="003B2F6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NILO - NÚCLEO DE INFRAESTRUTURA E LOGÍSTICA</w:t>
      </w:r>
    </w:p>
    <w:p w14:paraId="343D5057" w14:textId="77777777" w:rsidR="003B2F64" w:rsidRDefault="003B2F64" w:rsidP="002551B6">
      <w:pPr>
        <w:spacing w:after="0" w:line="240" w:lineRule="auto"/>
        <w:ind w:left="40" w:right="40"/>
        <w:jc w:val="center"/>
        <w:rPr>
          <w:rFonts w:ascii="Arial" w:eastAsia="Times New Roman" w:hAnsi="Arial" w:cs="Arial"/>
          <w:b/>
          <w:bCs/>
          <w:color w:val="000000"/>
          <w:sz w:val="18"/>
          <w:szCs w:val="18"/>
          <w:lang w:eastAsia="pt-BR"/>
        </w:rPr>
      </w:pPr>
    </w:p>
    <w:p w14:paraId="444B6400" w14:textId="77777777" w:rsidR="003B2F64" w:rsidRDefault="003B2F64">
      <w:pP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br w:type="page"/>
      </w:r>
    </w:p>
    <w:p w14:paraId="44F43BAF" w14:textId="2F3FF94A" w:rsidR="003D577F" w:rsidRPr="00592295" w:rsidRDefault="003D577F" w:rsidP="002551B6">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lastRenderedPageBreak/>
        <w:t>ANEXO V.1</w:t>
      </w:r>
    </w:p>
    <w:p w14:paraId="68A272C0" w14:textId="77777777" w:rsidR="003D577F" w:rsidRPr="00592295" w:rsidRDefault="003D577F" w:rsidP="002551B6">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Cadastro Reserva</w:t>
      </w:r>
    </w:p>
    <w:p w14:paraId="3B192936" w14:textId="77777777" w:rsidR="002551B6" w:rsidRDefault="002551B6" w:rsidP="003D577F">
      <w:pPr>
        <w:spacing w:after="0" w:line="240" w:lineRule="auto"/>
        <w:ind w:left="40" w:right="40"/>
        <w:rPr>
          <w:rFonts w:ascii="Arial" w:eastAsia="Times New Roman" w:hAnsi="Arial" w:cs="Arial"/>
          <w:b/>
          <w:color w:val="000000"/>
          <w:sz w:val="18"/>
          <w:szCs w:val="18"/>
          <w:lang w:eastAsia="pt-BR"/>
        </w:rPr>
      </w:pPr>
    </w:p>
    <w:p w14:paraId="4F4EC0F4" w14:textId="77777777" w:rsidR="00454BC0" w:rsidRPr="00592295" w:rsidRDefault="003D577F" w:rsidP="003D577F">
      <w:pPr>
        <w:spacing w:after="0" w:line="240" w:lineRule="auto"/>
        <w:ind w:left="40" w:right="40"/>
        <w:rPr>
          <w:rFonts w:ascii="Arial" w:eastAsia="Times New Roman" w:hAnsi="Arial" w:cs="Arial"/>
          <w:color w:val="000000"/>
          <w:sz w:val="18"/>
          <w:szCs w:val="18"/>
          <w:lang w:eastAsia="pt-BR"/>
        </w:rPr>
      </w:pPr>
      <w:r w:rsidRPr="00C520BE">
        <w:rPr>
          <w:rFonts w:ascii="Arial" w:eastAsia="Times New Roman" w:hAnsi="Arial" w:cs="Arial"/>
          <w:b/>
          <w:color w:val="000000"/>
          <w:sz w:val="18"/>
          <w:szCs w:val="18"/>
          <w:lang w:eastAsia="pt-BR"/>
        </w:rPr>
        <w:t>Obedecendo a ordem de classificação, segue relação de fornecedores que aceitaram cotar o(s) item(ns) com preços iguais aos do adjudicatário:</w:t>
      </w:r>
    </w:p>
    <w:p w14:paraId="1B4D1D4B" w14:textId="77777777" w:rsidR="00085078" w:rsidRPr="00592295" w:rsidRDefault="00085078" w:rsidP="003D577F">
      <w:pPr>
        <w:spacing w:after="0" w:line="240" w:lineRule="auto"/>
        <w:ind w:left="40" w:right="40"/>
        <w:rPr>
          <w:rFonts w:ascii="Arial" w:eastAsia="Times New Roman" w:hAnsi="Arial" w:cs="Arial"/>
          <w:color w:val="000000"/>
          <w:sz w:val="18"/>
          <w:szCs w:val="18"/>
          <w:lang w:eastAsia="pt-BR"/>
        </w:rPr>
      </w:pPr>
    </w:p>
    <w:tbl>
      <w:tblPr>
        <w:tblW w:w="9064" w:type="dxa"/>
        <w:tblCellMar>
          <w:top w:w="15" w:type="dxa"/>
          <w:left w:w="15" w:type="dxa"/>
          <w:bottom w:w="15" w:type="dxa"/>
          <w:right w:w="15" w:type="dxa"/>
        </w:tblCellMar>
        <w:tblLook w:val="04A0" w:firstRow="1" w:lastRow="0" w:firstColumn="1" w:lastColumn="0" w:noHBand="0" w:noVBand="1"/>
      </w:tblPr>
      <w:tblGrid>
        <w:gridCol w:w="1483"/>
        <w:gridCol w:w="1891"/>
        <w:gridCol w:w="782"/>
        <w:gridCol w:w="761"/>
        <w:gridCol w:w="646"/>
        <w:gridCol w:w="848"/>
        <w:gridCol w:w="937"/>
        <w:gridCol w:w="805"/>
        <w:gridCol w:w="911"/>
      </w:tblGrid>
      <w:tr w:rsidR="00085078" w:rsidRPr="00592295" w14:paraId="2AC90464" w14:textId="77777777" w:rsidTr="00454BC0">
        <w:tc>
          <w:tcPr>
            <w:tcW w:w="1532"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7869991D"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do TR</w:t>
            </w:r>
          </w:p>
        </w:tc>
        <w:tc>
          <w:tcPr>
            <w:tcW w:w="7532" w:type="dxa"/>
            <w:gridSpan w:val="8"/>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0623E9B2"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Fornecedor (razão social, CNPJ/MF, endereço, contatos, representante)</w:t>
            </w:r>
          </w:p>
        </w:tc>
      </w:tr>
      <w:tr w:rsidR="00454BC0" w:rsidRPr="00592295" w14:paraId="4565C58A" w14:textId="77777777" w:rsidTr="00454BC0">
        <w:tc>
          <w:tcPr>
            <w:tcW w:w="1532"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7CBA490A"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hideMark/>
          </w:tcPr>
          <w:p w14:paraId="1191073C"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w:t>
            </w:r>
          </w:p>
        </w:tc>
        <w:tc>
          <w:tcPr>
            <w:tcW w:w="810" w:type="dxa"/>
            <w:tcBorders>
              <w:top w:val="nil"/>
              <w:left w:val="nil"/>
              <w:bottom w:val="single" w:sz="6" w:space="0" w:color="000000"/>
              <w:right w:val="single" w:sz="6" w:space="0" w:color="000000"/>
            </w:tcBorders>
            <w:tcMar>
              <w:top w:w="0" w:type="dxa"/>
              <w:left w:w="105" w:type="dxa"/>
              <w:bottom w:w="0" w:type="dxa"/>
              <w:right w:w="105" w:type="dxa"/>
            </w:tcMar>
            <w:hideMark/>
          </w:tcPr>
          <w:p w14:paraId="03CF535B"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761" w:type="dxa"/>
            <w:tcBorders>
              <w:top w:val="nil"/>
              <w:left w:val="nil"/>
              <w:bottom w:val="single" w:sz="6" w:space="0" w:color="000000"/>
              <w:right w:val="single" w:sz="6" w:space="0" w:color="000000"/>
            </w:tcBorders>
            <w:tcMar>
              <w:top w:w="0" w:type="dxa"/>
              <w:left w:w="105" w:type="dxa"/>
              <w:bottom w:w="0" w:type="dxa"/>
              <w:right w:w="105" w:type="dxa"/>
            </w:tcMar>
            <w:hideMark/>
          </w:tcPr>
          <w:p w14:paraId="43BD7345"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w:t>
            </w:r>
          </w:p>
        </w:tc>
        <w:tc>
          <w:tcPr>
            <w:tcW w:w="668" w:type="dxa"/>
            <w:tcBorders>
              <w:top w:val="nil"/>
              <w:left w:val="nil"/>
              <w:bottom w:val="single" w:sz="6" w:space="0" w:color="000000"/>
              <w:right w:val="single" w:sz="6" w:space="0" w:color="000000"/>
            </w:tcBorders>
            <w:tcMar>
              <w:top w:w="0" w:type="dxa"/>
              <w:left w:w="105" w:type="dxa"/>
              <w:bottom w:w="0" w:type="dxa"/>
              <w:right w:w="105" w:type="dxa"/>
            </w:tcMar>
            <w:hideMark/>
          </w:tcPr>
          <w:p w14:paraId="55FBF428"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Und.</w:t>
            </w:r>
          </w:p>
        </w:tc>
        <w:tc>
          <w:tcPr>
            <w:tcW w:w="851" w:type="dxa"/>
            <w:tcBorders>
              <w:top w:val="nil"/>
              <w:left w:val="nil"/>
              <w:bottom w:val="single" w:sz="6" w:space="0" w:color="000000"/>
              <w:right w:val="single" w:sz="6" w:space="0" w:color="000000"/>
            </w:tcBorders>
            <w:tcMar>
              <w:top w:w="0" w:type="dxa"/>
              <w:left w:w="105" w:type="dxa"/>
              <w:bottom w:w="0" w:type="dxa"/>
              <w:right w:w="105" w:type="dxa"/>
            </w:tcMar>
            <w:hideMark/>
          </w:tcPr>
          <w:p w14:paraId="3DD2976B"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Máxima</w:t>
            </w:r>
          </w:p>
        </w:tc>
        <w:tc>
          <w:tcPr>
            <w:tcW w:w="992" w:type="dxa"/>
            <w:tcBorders>
              <w:top w:val="nil"/>
              <w:left w:val="nil"/>
              <w:bottom w:val="single" w:sz="6" w:space="0" w:color="000000"/>
              <w:right w:val="single" w:sz="6" w:space="0" w:color="000000"/>
            </w:tcBorders>
            <w:tcMar>
              <w:top w:w="0" w:type="dxa"/>
              <w:left w:w="105" w:type="dxa"/>
              <w:bottom w:w="0" w:type="dxa"/>
              <w:right w:w="105" w:type="dxa"/>
            </w:tcMar>
            <w:hideMark/>
          </w:tcPr>
          <w:p w14:paraId="5307CB7F"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Mínima</w:t>
            </w:r>
          </w:p>
        </w:tc>
        <w:tc>
          <w:tcPr>
            <w:tcW w:w="851" w:type="dxa"/>
            <w:tcBorders>
              <w:top w:val="nil"/>
              <w:left w:val="nil"/>
              <w:bottom w:val="single" w:sz="6" w:space="0" w:color="000000"/>
              <w:right w:val="single" w:sz="6" w:space="0" w:color="000000"/>
            </w:tcBorders>
            <w:tcMar>
              <w:top w:w="0" w:type="dxa"/>
              <w:left w:w="105" w:type="dxa"/>
              <w:bottom w:w="0" w:type="dxa"/>
              <w:right w:w="105" w:type="dxa"/>
            </w:tcMar>
            <w:hideMark/>
          </w:tcPr>
          <w:p w14:paraId="6D16A8FE"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w:t>
            </w:r>
          </w:p>
        </w:tc>
        <w:tc>
          <w:tcPr>
            <w:tcW w:w="708" w:type="dxa"/>
            <w:tcBorders>
              <w:top w:val="nil"/>
              <w:left w:val="nil"/>
              <w:bottom w:val="single" w:sz="6" w:space="0" w:color="000000"/>
              <w:right w:val="single" w:sz="6" w:space="0" w:color="000000"/>
            </w:tcBorders>
            <w:tcMar>
              <w:top w:w="0" w:type="dxa"/>
              <w:left w:w="105" w:type="dxa"/>
              <w:bottom w:w="0" w:type="dxa"/>
              <w:right w:w="105" w:type="dxa"/>
            </w:tcMar>
            <w:hideMark/>
          </w:tcPr>
          <w:p w14:paraId="195DFAA8"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Prazo de Validade</w:t>
            </w:r>
          </w:p>
        </w:tc>
      </w:tr>
      <w:tr w:rsidR="00454BC0" w:rsidRPr="00592295" w14:paraId="1C03E965" w14:textId="77777777" w:rsidTr="00454BC0">
        <w:tc>
          <w:tcPr>
            <w:tcW w:w="1532"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6C58160C"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1: Código HC: XXXX</w:t>
            </w:r>
          </w:p>
          <w:p w14:paraId="0A52BF2D"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14:paraId="237CDBB8"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14:paraId="0805E86E"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14:paraId="65B27B7B"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B380E61"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81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08C59E9"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361FBBD"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6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1034F11"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6FCF023"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609576AC"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tcPr>
          <w:p w14:paraId="60F68D28"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08" w:type="dxa"/>
            <w:tcBorders>
              <w:top w:val="nil"/>
              <w:left w:val="nil"/>
              <w:bottom w:val="single" w:sz="6" w:space="0" w:color="000000"/>
              <w:right w:val="single" w:sz="6" w:space="0" w:color="000000"/>
            </w:tcBorders>
            <w:tcMar>
              <w:top w:w="0" w:type="dxa"/>
              <w:left w:w="105" w:type="dxa"/>
              <w:bottom w:w="0" w:type="dxa"/>
              <w:right w:w="105" w:type="dxa"/>
            </w:tcMar>
            <w:vAlign w:val="center"/>
          </w:tcPr>
          <w:p w14:paraId="6D922E37"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r w:rsidR="00454BC0" w:rsidRPr="00592295" w14:paraId="732A0052" w14:textId="77777777" w:rsidTr="00454BC0">
        <w:tc>
          <w:tcPr>
            <w:tcW w:w="1532"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5D1D9371"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Item </w:t>
            </w:r>
            <w:r w:rsidR="002E7484">
              <w:rPr>
                <w:rFonts w:ascii="Arial" w:eastAsia="Times New Roman" w:hAnsi="Arial" w:cs="Arial"/>
                <w:color w:val="000000"/>
                <w:sz w:val="18"/>
                <w:szCs w:val="18"/>
                <w:lang w:eastAsia="pt-BR"/>
              </w:rPr>
              <w:t xml:space="preserve"> 2</w:t>
            </w:r>
            <w:r w:rsidRPr="00592295">
              <w:rPr>
                <w:rFonts w:ascii="Arial" w:eastAsia="Times New Roman" w:hAnsi="Arial" w:cs="Arial"/>
                <w:color w:val="000000"/>
                <w:sz w:val="18"/>
                <w:szCs w:val="18"/>
                <w:lang w:eastAsia="pt-BR"/>
              </w:rPr>
              <w:t>: Código HC: XXXX</w:t>
            </w:r>
          </w:p>
          <w:p w14:paraId="52AE4864"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14:paraId="031C0537"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14:paraId="6500BD22"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14:paraId="6864BD5C"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BC15480"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81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2D3A9C9"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D256474"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6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E8B8737"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9CF10FD"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57CB82BD"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5637BC8"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0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4906971"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bl>
    <w:p w14:paraId="2D5B35B0" w14:textId="77777777" w:rsidR="00085078" w:rsidRPr="00592295" w:rsidRDefault="00085078" w:rsidP="003D577F">
      <w:pPr>
        <w:spacing w:after="0" w:line="240" w:lineRule="auto"/>
        <w:ind w:left="40" w:right="40"/>
        <w:rPr>
          <w:rFonts w:ascii="Arial" w:eastAsia="Times New Roman" w:hAnsi="Arial" w:cs="Arial"/>
          <w:color w:val="000000"/>
          <w:sz w:val="18"/>
          <w:szCs w:val="18"/>
          <w:lang w:eastAsia="pt-BR"/>
        </w:rPr>
      </w:pPr>
    </w:p>
    <w:p w14:paraId="1F2769FF" w14:textId="77777777" w:rsidR="00085078" w:rsidRPr="00592295" w:rsidRDefault="00085078" w:rsidP="003D577F">
      <w:pPr>
        <w:spacing w:after="0" w:line="240" w:lineRule="auto"/>
        <w:ind w:left="40" w:right="40"/>
        <w:rPr>
          <w:rFonts w:ascii="Arial" w:eastAsia="Times New Roman" w:hAnsi="Arial" w:cs="Arial"/>
          <w:color w:val="000000"/>
          <w:sz w:val="18"/>
          <w:szCs w:val="18"/>
          <w:lang w:eastAsia="pt-BR"/>
        </w:rPr>
      </w:pPr>
    </w:p>
    <w:p w14:paraId="461A12EF" w14:textId="77777777" w:rsidR="00454BC0" w:rsidRPr="00592295" w:rsidRDefault="003D577F" w:rsidP="002551B6">
      <w:pPr>
        <w:spacing w:after="165" w:line="240" w:lineRule="auto"/>
        <w:rPr>
          <w:rFonts w:ascii="Arial" w:eastAsia="Times New Roman" w:hAnsi="Arial" w:cs="Arial"/>
          <w:color w:val="000000"/>
          <w:sz w:val="18"/>
          <w:szCs w:val="18"/>
          <w:lang w:eastAsia="pt-BR"/>
        </w:rPr>
      </w:pPr>
      <w:r w:rsidRPr="00C520BE">
        <w:rPr>
          <w:rFonts w:ascii="Arial" w:eastAsia="Times New Roman" w:hAnsi="Arial" w:cs="Arial"/>
          <w:b/>
          <w:color w:val="000000"/>
          <w:sz w:val="18"/>
          <w:szCs w:val="18"/>
          <w:lang w:eastAsia="pt-BR"/>
        </w:rPr>
        <w:t>Obedecendo a ordem de classificação, segue relação de fornecedores que mantiveram sua proposta original:</w:t>
      </w:r>
    </w:p>
    <w:tbl>
      <w:tblPr>
        <w:tblW w:w="9064" w:type="dxa"/>
        <w:tblCellMar>
          <w:top w:w="15" w:type="dxa"/>
          <w:left w:w="15" w:type="dxa"/>
          <w:bottom w:w="15" w:type="dxa"/>
          <w:right w:w="15" w:type="dxa"/>
        </w:tblCellMar>
        <w:tblLook w:val="04A0" w:firstRow="1" w:lastRow="0" w:firstColumn="1" w:lastColumn="0" w:noHBand="0" w:noVBand="1"/>
      </w:tblPr>
      <w:tblGrid>
        <w:gridCol w:w="1527"/>
        <w:gridCol w:w="1891"/>
        <w:gridCol w:w="711"/>
        <w:gridCol w:w="761"/>
        <w:gridCol w:w="631"/>
        <w:gridCol w:w="850"/>
        <w:gridCol w:w="851"/>
        <w:gridCol w:w="850"/>
        <w:gridCol w:w="992"/>
      </w:tblGrid>
      <w:tr w:rsidR="00454BC0" w:rsidRPr="00592295" w14:paraId="09992983" w14:textId="77777777" w:rsidTr="00454BC0">
        <w:tc>
          <w:tcPr>
            <w:tcW w:w="1527"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7155369C"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do TR</w:t>
            </w:r>
          </w:p>
        </w:tc>
        <w:tc>
          <w:tcPr>
            <w:tcW w:w="7537" w:type="dxa"/>
            <w:gridSpan w:val="8"/>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6D1CEC1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Fornecedor (razão social, CNPJ/MF, endereço, contatos, representante)</w:t>
            </w:r>
          </w:p>
        </w:tc>
      </w:tr>
      <w:tr w:rsidR="00454BC0" w:rsidRPr="00592295" w14:paraId="251B5BB9" w14:textId="77777777" w:rsidTr="00454BC0">
        <w:tc>
          <w:tcPr>
            <w:tcW w:w="1527"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53DA3844"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hideMark/>
          </w:tcPr>
          <w:p w14:paraId="75AD72F3"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w:t>
            </w:r>
          </w:p>
        </w:tc>
        <w:tc>
          <w:tcPr>
            <w:tcW w:w="711" w:type="dxa"/>
            <w:tcBorders>
              <w:top w:val="nil"/>
              <w:left w:val="nil"/>
              <w:bottom w:val="single" w:sz="6" w:space="0" w:color="000000"/>
              <w:right w:val="single" w:sz="6" w:space="0" w:color="000000"/>
            </w:tcBorders>
            <w:tcMar>
              <w:top w:w="0" w:type="dxa"/>
              <w:left w:w="105" w:type="dxa"/>
              <w:bottom w:w="0" w:type="dxa"/>
              <w:right w:w="105" w:type="dxa"/>
            </w:tcMar>
            <w:hideMark/>
          </w:tcPr>
          <w:p w14:paraId="1A1FC3D9"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761" w:type="dxa"/>
            <w:tcBorders>
              <w:top w:val="nil"/>
              <w:left w:val="nil"/>
              <w:bottom w:val="single" w:sz="6" w:space="0" w:color="000000"/>
              <w:right w:val="single" w:sz="6" w:space="0" w:color="000000"/>
            </w:tcBorders>
            <w:tcMar>
              <w:top w:w="0" w:type="dxa"/>
              <w:left w:w="105" w:type="dxa"/>
              <w:bottom w:w="0" w:type="dxa"/>
              <w:right w:w="105" w:type="dxa"/>
            </w:tcMar>
            <w:hideMark/>
          </w:tcPr>
          <w:p w14:paraId="4FA92124"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w:t>
            </w:r>
          </w:p>
        </w:tc>
        <w:tc>
          <w:tcPr>
            <w:tcW w:w="631" w:type="dxa"/>
            <w:tcBorders>
              <w:top w:val="nil"/>
              <w:left w:val="nil"/>
              <w:bottom w:val="single" w:sz="6" w:space="0" w:color="000000"/>
              <w:right w:val="single" w:sz="6" w:space="0" w:color="000000"/>
            </w:tcBorders>
            <w:tcMar>
              <w:top w:w="0" w:type="dxa"/>
              <w:left w:w="105" w:type="dxa"/>
              <w:bottom w:w="0" w:type="dxa"/>
              <w:right w:w="105" w:type="dxa"/>
            </w:tcMar>
            <w:hideMark/>
          </w:tcPr>
          <w:p w14:paraId="26693C98"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Und.</w:t>
            </w:r>
          </w:p>
        </w:tc>
        <w:tc>
          <w:tcPr>
            <w:tcW w:w="850" w:type="dxa"/>
            <w:tcBorders>
              <w:top w:val="nil"/>
              <w:left w:val="nil"/>
              <w:bottom w:val="single" w:sz="6" w:space="0" w:color="000000"/>
              <w:right w:val="single" w:sz="6" w:space="0" w:color="000000"/>
            </w:tcBorders>
            <w:tcMar>
              <w:top w:w="0" w:type="dxa"/>
              <w:left w:w="105" w:type="dxa"/>
              <w:bottom w:w="0" w:type="dxa"/>
              <w:right w:w="105" w:type="dxa"/>
            </w:tcMar>
            <w:hideMark/>
          </w:tcPr>
          <w:p w14:paraId="2E4656E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Máxima</w:t>
            </w:r>
          </w:p>
        </w:tc>
        <w:tc>
          <w:tcPr>
            <w:tcW w:w="851" w:type="dxa"/>
            <w:tcBorders>
              <w:top w:val="nil"/>
              <w:left w:val="nil"/>
              <w:bottom w:val="single" w:sz="6" w:space="0" w:color="000000"/>
              <w:right w:val="single" w:sz="6" w:space="0" w:color="000000"/>
            </w:tcBorders>
            <w:tcMar>
              <w:top w:w="0" w:type="dxa"/>
              <w:left w:w="105" w:type="dxa"/>
              <w:bottom w:w="0" w:type="dxa"/>
              <w:right w:w="105" w:type="dxa"/>
            </w:tcMar>
            <w:hideMark/>
          </w:tcPr>
          <w:p w14:paraId="5B7FD066"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Mínima</w:t>
            </w:r>
          </w:p>
        </w:tc>
        <w:tc>
          <w:tcPr>
            <w:tcW w:w="850" w:type="dxa"/>
            <w:tcBorders>
              <w:top w:val="nil"/>
              <w:left w:val="nil"/>
              <w:bottom w:val="single" w:sz="6" w:space="0" w:color="000000"/>
              <w:right w:val="single" w:sz="6" w:space="0" w:color="000000"/>
            </w:tcBorders>
            <w:tcMar>
              <w:top w:w="0" w:type="dxa"/>
              <w:left w:w="105" w:type="dxa"/>
              <w:bottom w:w="0" w:type="dxa"/>
              <w:right w:w="105" w:type="dxa"/>
            </w:tcMar>
            <w:hideMark/>
          </w:tcPr>
          <w:p w14:paraId="516AD104"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w:t>
            </w:r>
          </w:p>
        </w:tc>
        <w:tc>
          <w:tcPr>
            <w:tcW w:w="992" w:type="dxa"/>
            <w:tcBorders>
              <w:top w:val="nil"/>
              <w:left w:val="nil"/>
              <w:bottom w:val="single" w:sz="6" w:space="0" w:color="000000"/>
              <w:right w:val="single" w:sz="6" w:space="0" w:color="000000"/>
            </w:tcBorders>
            <w:tcMar>
              <w:top w:w="0" w:type="dxa"/>
              <w:left w:w="105" w:type="dxa"/>
              <w:bottom w:w="0" w:type="dxa"/>
              <w:right w:w="105" w:type="dxa"/>
            </w:tcMar>
            <w:hideMark/>
          </w:tcPr>
          <w:p w14:paraId="09E158E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Prazo de Validade</w:t>
            </w:r>
          </w:p>
        </w:tc>
      </w:tr>
      <w:tr w:rsidR="00454BC0" w:rsidRPr="00592295" w14:paraId="28502BA3" w14:textId="77777777" w:rsidTr="00454BC0">
        <w:tc>
          <w:tcPr>
            <w:tcW w:w="1527"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259A9396"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1: Código HC: XXXX</w:t>
            </w:r>
          </w:p>
          <w:p w14:paraId="361CB0FE"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14:paraId="05BECF67"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14:paraId="04274EB4"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14:paraId="73031047"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5794592B"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12DBDAE"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2D2AE1B"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3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676DF8E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0F1BCFE"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54EBF9F2"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tcPr>
          <w:p w14:paraId="7BE0900E"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tcPr>
          <w:p w14:paraId="710357E7"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r w:rsidR="00454BC0" w:rsidRPr="00592295" w14:paraId="666CD5A7" w14:textId="77777777" w:rsidTr="00454BC0">
        <w:tc>
          <w:tcPr>
            <w:tcW w:w="1527"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26A6C34A"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Item </w:t>
            </w:r>
            <w:r>
              <w:rPr>
                <w:rFonts w:ascii="Arial" w:eastAsia="Times New Roman" w:hAnsi="Arial" w:cs="Arial"/>
                <w:color w:val="000000"/>
                <w:sz w:val="18"/>
                <w:szCs w:val="18"/>
                <w:lang w:eastAsia="pt-BR"/>
              </w:rPr>
              <w:t xml:space="preserve"> 2</w:t>
            </w:r>
            <w:r w:rsidRPr="00592295">
              <w:rPr>
                <w:rFonts w:ascii="Arial" w:eastAsia="Times New Roman" w:hAnsi="Arial" w:cs="Arial"/>
                <w:color w:val="000000"/>
                <w:sz w:val="18"/>
                <w:szCs w:val="18"/>
                <w:lang w:eastAsia="pt-BR"/>
              </w:rPr>
              <w:t>: Código HC: XXXX</w:t>
            </w:r>
          </w:p>
          <w:p w14:paraId="669EB4C3"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14:paraId="71899698"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14:paraId="46634BCA"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14:paraId="6A5F66E9"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68FBF360"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4B497F2"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F35F23C"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3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139AC10A"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2EC5CEC"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0B59DBB"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270DA29"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E6E3ED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bl>
    <w:p w14:paraId="1BCFDF55" w14:textId="77777777" w:rsidR="004107A9" w:rsidRPr="004207A7" w:rsidRDefault="004107A9" w:rsidP="004107A9">
      <w:pPr>
        <w:spacing w:before="120" w:after="120" w:line="240" w:lineRule="auto"/>
        <w:ind w:left="120" w:right="120"/>
        <w:jc w:val="right"/>
        <w:rPr>
          <w:rFonts w:ascii="Times New Roman" w:eastAsia="Times New Roman" w:hAnsi="Times New Roman" w:cs="Times New Roman"/>
          <w:sz w:val="24"/>
          <w:szCs w:val="24"/>
          <w:lang w:eastAsia="pt-BR"/>
        </w:rPr>
      </w:pPr>
      <w:r w:rsidRPr="004207A7">
        <w:rPr>
          <w:rFonts w:ascii="Calibri" w:eastAsia="Times New Roman" w:hAnsi="Calibri" w:cs="Calibri"/>
          <w:color w:val="000000"/>
          <w:sz w:val="27"/>
          <w:szCs w:val="27"/>
          <w:lang w:eastAsia="pt-BR"/>
        </w:rPr>
        <w:t>São Paulo, na data da assinatura digital.</w:t>
      </w:r>
    </w:p>
    <w:p w14:paraId="044A25FA" w14:textId="77777777" w:rsidR="00FD570E" w:rsidRPr="00FD570E" w:rsidRDefault="00FD570E" w:rsidP="00FD570E">
      <w:pPr>
        <w:spacing w:after="165" w:line="240" w:lineRule="auto"/>
        <w:jc w:val="center"/>
        <w:rPr>
          <w:rFonts w:ascii="Calibri" w:eastAsia="Times New Roman" w:hAnsi="Calibri" w:cs="Calibri"/>
          <w:bCs/>
          <w:color w:val="000000"/>
          <w:lang w:eastAsia="pt-BR"/>
        </w:rPr>
      </w:pPr>
      <w:r w:rsidRPr="00FD570E">
        <w:rPr>
          <w:rFonts w:ascii="Calibri" w:eastAsia="Times New Roman" w:hAnsi="Calibri" w:cs="Calibri"/>
          <w:bCs/>
          <w:color w:val="000000"/>
          <w:lang w:eastAsia="pt-BR"/>
        </w:rPr>
        <w:t>SIMONE ROSA DE OLIVEIRA COSTA</w:t>
      </w:r>
    </w:p>
    <w:p w14:paraId="6AF21454" w14:textId="19BB89F0" w:rsidR="003D577F" w:rsidRPr="00454BC0" w:rsidRDefault="00FD570E" w:rsidP="00FD570E">
      <w:pPr>
        <w:spacing w:after="165" w:line="240" w:lineRule="auto"/>
        <w:jc w:val="center"/>
        <w:rPr>
          <w:rFonts w:ascii="Arial" w:eastAsia="Times New Roman" w:hAnsi="Arial" w:cs="Arial"/>
          <w:color w:val="000000"/>
          <w:sz w:val="18"/>
          <w:szCs w:val="18"/>
          <w:lang w:eastAsia="pt-BR"/>
        </w:rPr>
      </w:pPr>
      <w:r w:rsidRPr="00FD570E">
        <w:rPr>
          <w:rFonts w:ascii="Calibri" w:eastAsia="Times New Roman" w:hAnsi="Calibri" w:cs="Calibri"/>
          <w:bCs/>
          <w:color w:val="000000"/>
          <w:lang w:eastAsia="pt-BR"/>
        </w:rPr>
        <w:t>OF. ADMINISTRATIVO</w:t>
      </w:r>
    </w:p>
    <w:sectPr w:rsidR="003D577F" w:rsidRPr="00454BC0" w:rsidSect="0085575B">
      <w:headerReference w:type="default" r:id="rId95"/>
      <w:footerReference w:type="default" r:id="rId96"/>
      <w:pgSz w:w="11906" w:h="16838"/>
      <w:pgMar w:top="0" w:right="1133"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5932F3" w14:textId="77777777" w:rsidR="008612CC" w:rsidRDefault="008612CC" w:rsidP="00445FE1">
      <w:pPr>
        <w:spacing w:after="0" w:line="240" w:lineRule="auto"/>
      </w:pPr>
      <w:r>
        <w:separator/>
      </w:r>
    </w:p>
  </w:endnote>
  <w:endnote w:type="continuationSeparator" w:id="0">
    <w:p w14:paraId="5422EB78" w14:textId="77777777" w:rsidR="008612CC" w:rsidRDefault="008612CC" w:rsidP="00445F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Liberation Serif">
    <w:panose1 w:val="02020603050405020304"/>
    <w:charset w:val="00"/>
    <w:family w:val="roman"/>
    <w:pitch w:val="variable"/>
    <w:sig w:usb0="E0000AFF" w:usb1="500078FF" w:usb2="00000021" w:usb3="00000000" w:csb0="000001B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46AFFC" w14:textId="6DAC9576" w:rsidR="00F20451" w:rsidRDefault="00F20451">
    <w:pPr>
      <w:pStyle w:val="Corpodetexto"/>
      <w:spacing w:line="14" w:lineRule="auto"/>
    </w:pPr>
    <w:r>
      <w:rPr>
        <w:noProof/>
        <w:lang w:val="pt-BR" w:eastAsia="pt-BR"/>
      </w:rPr>
      <mc:AlternateContent>
        <mc:Choice Requires="wps">
          <w:drawing>
            <wp:anchor distT="0" distB="0" distL="0" distR="0" simplePos="0" relativeHeight="251657216" behindDoc="1" locked="0" layoutInCell="1" allowOverlap="1" wp14:anchorId="01DF3442" wp14:editId="6AE48A5C">
              <wp:simplePos x="0" y="0"/>
              <wp:positionH relativeFrom="page">
                <wp:posOffset>6522211</wp:posOffset>
              </wp:positionH>
              <wp:positionV relativeFrom="page">
                <wp:posOffset>10255884</wp:posOffset>
              </wp:positionV>
              <wp:extent cx="330835" cy="15240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30835" cy="152400"/>
                      </a:xfrm>
                      <a:prstGeom prst="rect">
                        <a:avLst/>
                      </a:prstGeom>
                    </wps:spPr>
                    <wps:txbx>
                      <w:txbxContent>
                        <w:p w14:paraId="5C9CE914" w14:textId="43A7FBE3" w:rsidR="00F20451" w:rsidRDefault="00F20451">
                          <w:pPr>
                            <w:spacing w:before="12"/>
                            <w:ind w:left="60"/>
                            <w:rPr>
                              <w:rFonts w:ascii="Times New Roman"/>
                              <w:sz w:val="18"/>
                            </w:rPr>
                          </w:pPr>
                          <w:r>
                            <w:rPr>
                              <w:rFonts w:ascii="Times New Roman"/>
                              <w:sz w:val="18"/>
                            </w:rPr>
                            <w:fldChar w:fldCharType="begin"/>
                          </w:r>
                          <w:r>
                            <w:rPr>
                              <w:rFonts w:ascii="Times New Roman"/>
                              <w:sz w:val="18"/>
                            </w:rPr>
                            <w:instrText xml:space="preserve"> PAGE </w:instrText>
                          </w:r>
                          <w:r>
                            <w:rPr>
                              <w:rFonts w:ascii="Times New Roman"/>
                              <w:sz w:val="18"/>
                            </w:rPr>
                            <w:fldChar w:fldCharType="separate"/>
                          </w:r>
                          <w:r w:rsidR="00FD570E">
                            <w:rPr>
                              <w:rFonts w:ascii="Times New Roman"/>
                              <w:noProof/>
                              <w:sz w:val="18"/>
                            </w:rPr>
                            <w:t>58</w:t>
                          </w:r>
                          <w:r>
                            <w:rPr>
                              <w:rFonts w:ascii="Times New Roman"/>
                              <w:sz w:val="18"/>
                            </w:rPr>
                            <w:fldChar w:fldCharType="end"/>
                          </w:r>
                          <w:r>
                            <w:rPr>
                              <w:rFonts w:ascii="Times New Roman"/>
                              <w:spacing w:val="-1"/>
                              <w:sz w:val="18"/>
                            </w:rPr>
                            <w:t xml:space="preserve"> </w:t>
                          </w:r>
                          <w:r>
                            <w:rPr>
                              <w:rFonts w:ascii="Times New Roman"/>
                              <w:sz w:val="18"/>
                            </w:rPr>
                            <w:t xml:space="preserve">de </w:t>
                          </w:r>
                          <w:r>
                            <w:rPr>
                              <w:rFonts w:ascii="Times New Roman"/>
                              <w:spacing w:val="-10"/>
                              <w:sz w:val="18"/>
                            </w:rPr>
                            <w:fldChar w:fldCharType="begin"/>
                          </w:r>
                          <w:r>
                            <w:rPr>
                              <w:rFonts w:ascii="Times New Roman"/>
                              <w:spacing w:val="-10"/>
                              <w:sz w:val="18"/>
                            </w:rPr>
                            <w:instrText xml:space="preserve"> NUMPAGES </w:instrText>
                          </w:r>
                          <w:r>
                            <w:rPr>
                              <w:rFonts w:ascii="Times New Roman"/>
                              <w:spacing w:val="-10"/>
                              <w:sz w:val="18"/>
                            </w:rPr>
                            <w:fldChar w:fldCharType="separate"/>
                          </w:r>
                          <w:r w:rsidR="00FD570E">
                            <w:rPr>
                              <w:rFonts w:ascii="Times New Roman"/>
                              <w:noProof/>
                              <w:spacing w:val="-10"/>
                              <w:sz w:val="18"/>
                            </w:rPr>
                            <w:t>58</w:t>
                          </w:r>
                          <w:r>
                            <w:rPr>
                              <w:rFonts w:ascii="Times New Roman"/>
                              <w:spacing w:val="-10"/>
                              <w:sz w:val="18"/>
                            </w:rPr>
                            <w:fldChar w:fldCharType="end"/>
                          </w:r>
                        </w:p>
                      </w:txbxContent>
                    </wps:txbx>
                    <wps:bodyPr wrap="square" lIns="0" tIns="0" rIns="0" bIns="0" rtlCol="0">
                      <a:noAutofit/>
                    </wps:bodyPr>
                  </wps:wsp>
                </a:graphicData>
              </a:graphic>
            </wp:anchor>
          </w:drawing>
        </mc:Choice>
        <mc:Fallback>
          <w:pict>
            <v:shapetype w14:anchorId="01DF3442" id="_x0000_t202" coordsize="21600,21600" o:spt="202" path="m,l,21600r21600,l21600,xe">
              <v:stroke joinstyle="miter"/>
              <v:path gradientshapeok="t" o:connecttype="rect"/>
            </v:shapetype>
            <v:shape id="Textbox 3" o:spid="_x0000_s1129" type="#_x0000_t202" style="position:absolute;margin-left:513.55pt;margin-top:807.55pt;width:26.05pt;height:12pt;z-index:-2516592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" filled="f" stroked="f">
              <v:path arrowok="t"/>
              <v:textbox inset="0,0,0,0">
                <w:txbxContent>
                  <w:p w14:paraId="5C9CE914" w14:textId="43A7FBE3" w:rsidR="00F20451" w:rsidRDefault="00F20451">
                    <w:pPr>
                      <w:spacing w:before="12"/>
                      <w:ind w:left="60"/>
                      <w:rPr>
                        <w:rFonts w:ascii="Times New Roman"/>
                        <w:sz w:val="18"/>
                      </w:rPr>
                    </w:pPr>
                    <w:r>
                      <w:rPr>
                        <w:rFonts w:ascii="Times New Roman"/>
                        <w:sz w:val="18"/>
                      </w:rPr>
                      <w:fldChar w:fldCharType="begin"/>
                    </w:r>
                    <w:r>
                      <w:rPr>
                        <w:rFonts w:ascii="Times New Roman"/>
                        <w:sz w:val="18"/>
                      </w:rPr>
                      <w:instrText xml:space="preserve"> PAGE </w:instrText>
                    </w:r>
                    <w:r>
                      <w:rPr>
                        <w:rFonts w:ascii="Times New Roman"/>
                        <w:sz w:val="18"/>
                      </w:rPr>
                      <w:fldChar w:fldCharType="separate"/>
                    </w:r>
                    <w:r w:rsidR="00FD570E">
                      <w:rPr>
                        <w:rFonts w:ascii="Times New Roman"/>
                        <w:noProof/>
                        <w:sz w:val="18"/>
                      </w:rPr>
                      <w:t>58</w:t>
                    </w:r>
                    <w:r>
                      <w:rPr>
                        <w:rFonts w:ascii="Times New Roman"/>
                        <w:sz w:val="18"/>
                      </w:rPr>
                      <w:fldChar w:fldCharType="end"/>
                    </w:r>
                    <w:r>
                      <w:rPr>
                        <w:rFonts w:ascii="Times New Roman"/>
                        <w:spacing w:val="-1"/>
                        <w:sz w:val="18"/>
                      </w:rPr>
                      <w:t xml:space="preserve"> </w:t>
                    </w:r>
                    <w:r>
                      <w:rPr>
                        <w:rFonts w:ascii="Times New Roman"/>
                        <w:sz w:val="18"/>
                      </w:rPr>
                      <w:t xml:space="preserve">de </w:t>
                    </w:r>
                    <w:r>
                      <w:rPr>
                        <w:rFonts w:ascii="Times New Roman"/>
                        <w:spacing w:val="-10"/>
                        <w:sz w:val="18"/>
                      </w:rPr>
                      <w:fldChar w:fldCharType="begin"/>
                    </w:r>
                    <w:r>
                      <w:rPr>
                        <w:rFonts w:ascii="Times New Roman"/>
                        <w:spacing w:val="-10"/>
                        <w:sz w:val="18"/>
                      </w:rPr>
                      <w:instrText xml:space="preserve"> NUMPAGES </w:instrText>
                    </w:r>
                    <w:r>
                      <w:rPr>
                        <w:rFonts w:ascii="Times New Roman"/>
                        <w:spacing w:val="-10"/>
                        <w:sz w:val="18"/>
                      </w:rPr>
                      <w:fldChar w:fldCharType="separate"/>
                    </w:r>
                    <w:r w:rsidR="00FD570E">
                      <w:rPr>
                        <w:rFonts w:ascii="Times New Roman"/>
                        <w:noProof/>
                        <w:spacing w:val="-10"/>
                        <w:sz w:val="18"/>
                      </w:rPr>
                      <w:t>58</w:t>
                    </w:r>
                    <w:r>
                      <w:rPr>
                        <w:rFonts w:ascii="Times New Roman"/>
                        <w:spacing w:val="-10"/>
                        <w:sz w:val="18"/>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2D190E" w14:textId="77777777" w:rsidR="008612CC" w:rsidRDefault="008612CC" w:rsidP="00445FE1">
      <w:pPr>
        <w:spacing w:after="0" w:line="240" w:lineRule="auto"/>
      </w:pPr>
      <w:r>
        <w:separator/>
      </w:r>
    </w:p>
  </w:footnote>
  <w:footnote w:type="continuationSeparator" w:id="0">
    <w:p w14:paraId="57B831A3" w14:textId="77777777" w:rsidR="008612CC" w:rsidRDefault="008612CC" w:rsidP="00445FE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A18C8F" w14:textId="77777777" w:rsidR="00F20451" w:rsidRDefault="00F20451">
    <w:pPr>
      <w:pStyle w:val="Corpodetexto"/>
      <w:spacing w:line="14" w:lineRule="aut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5302EF" w14:textId="10EEB313" w:rsidR="00F20451" w:rsidRPr="00445FE1" w:rsidRDefault="00F20451" w:rsidP="00445FE1">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18128F"/>
    <w:multiLevelType w:val="multilevel"/>
    <w:tmpl w:val="69C29416"/>
    <w:lvl w:ilvl="0">
      <w:start w:val="4"/>
      <w:numFmt w:val="decimal"/>
      <w:lvlText w:val="%1"/>
      <w:lvlJc w:val="left"/>
      <w:pPr>
        <w:ind w:left="507" w:hanging="334"/>
      </w:pPr>
      <w:rPr>
        <w:rFonts w:hint="default"/>
        <w:lang w:val="pt-PT" w:eastAsia="en-US" w:bidi="ar-SA"/>
      </w:rPr>
    </w:lvl>
    <w:lvl w:ilvl="1">
      <w:start w:val="4"/>
      <w:numFmt w:val="decimal"/>
      <w:lvlText w:val="%1.%2"/>
      <w:lvlJc w:val="left"/>
      <w:pPr>
        <w:ind w:left="507" w:hanging="334"/>
      </w:pPr>
      <w:rPr>
        <w:rFonts w:ascii="Arial" w:eastAsia="Arial" w:hAnsi="Arial" w:cs="Arial" w:hint="default"/>
        <w:b/>
        <w:bCs/>
        <w:w w:val="100"/>
        <w:sz w:val="20"/>
        <w:szCs w:val="20"/>
        <w:lang w:val="pt-PT" w:eastAsia="en-US" w:bidi="ar-SA"/>
      </w:rPr>
    </w:lvl>
    <w:lvl w:ilvl="2">
      <w:start w:val="1"/>
      <w:numFmt w:val="decimal"/>
      <w:lvlText w:val="%1.%2.%3"/>
      <w:lvlJc w:val="left"/>
      <w:pPr>
        <w:ind w:left="174" w:hanging="510"/>
      </w:pPr>
      <w:rPr>
        <w:rFonts w:ascii="Arial MT" w:eastAsia="Arial MT" w:hAnsi="Arial MT" w:cs="Arial MT" w:hint="default"/>
        <w:w w:val="100"/>
        <w:sz w:val="20"/>
        <w:szCs w:val="20"/>
        <w:lang w:val="pt-PT" w:eastAsia="en-US" w:bidi="ar-SA"/>
      </w:rPr>
    </w:lvl>
    <w:lvl w:ilvl="3">
      <w:numFmt w:val="bullet"/>
      <w:lvlText w:val="•"/>
      <w:lvlJc w:val="left"/>
      <w:pPr>
        <w:ind w:left="2545" w:hanging="510"/>
      </w:pPr>
      <w:rPr>
        <w:rFonts w:hint="default"/>
        <w:lang w:val="pt-PT" w:eastAsia="en-US" w:bidi="ar-SA"/>
      </w:rPr>
    </w:lvl>
    <w:lvl w:ilvl="4">
      <w:numFmt w:val="bullet"/>
      <w:lvlText w:val="•"/>
      <w:lvlJc w:val="left"/>
      <w:pPr>
        <w:ind w:left="3568" w:hanging="510"/>
      </w:pPr>
      <w:rPr>
        <w:rFonts w:hint="default"/>
        <w:lang w:val="pt-PT" w:eastAsia="en-US" w:bidi="ar-SA"/>
      </w:rPr>
    </w:lvl>
    <w:lvl w:ilvl="5">
      <w:numFmt w:val="bullet"/>
      <w:lvlText w:val="•"/>
      <w:lvlJc w:val="left"/>
      <w:pPr>
        <w:ind w:left="4591" w:hanging="510"/>
      </w:pPr>
      <w:rPr>
        <w:rFonts w:hint="default"/>
        <w:lang w:val="pt-PT" w:eastAsia="en-US" w:bidi="ar-SA"/>
      </w:rPr>
    </w:lvl>
    <w:lvl w:ilvl="6">
      <w:numFmt w:val="bullet"/>
      <w:lvlText w:val="•"/>
      <w:lvlJc w:val="left"/>
      <w:pPr>
        <w:ind w:left="5614" w:hanging="510"/>
      </w:pPr>
      <w:rPr>
        <w:rFonts w:hint="default"/>
        <w:lang w:val="pt-PT" w:eastAsia="en-US" w:bidi="ar-SA"/>
      </w:rPr>
    </w:lvl>
    <w:lvl w:ilvl="7">
      <w:numFmt w:val="bullet"/>
      <w:lvlText w:val="•"/>
      <w:lvlJc w:val="left"/>
      <w:pPr>
        <w:ind w:left="6637" w:hanging="510"/>
      </w:pPr>
      <w:rPr>
        <w:rFonts w:hint="default"/>
        <w:lang w:val="pt-PT" w:eastAsia="en-US" w:bidi="ar-SA"/>
      </w:rPr>
    </w:lvl>
    <w:lvl w:ilvl="8">
      <w:numFmt w:val="bullet"/>
      <w:lvlText w:val="•"/>
      <w:lvlJc w:val="left"/>
      <w:pPr>
        <w:ind w:left="7659" w:hanging="510"/>
      </w:pPr>
      <w:rPr>
        <w:rFonts w:hint="default"/>
        <w:lang w:val="pt-PT" w:eastAsia="en-US" w:bidi="ar-SA"/>
      </w:rPr>
    </w:lvl>
  </w:abstractNum>
  <w:abstractNum w:abstractNumId="1" w15:restartNumberingAfterBreak="0">
    <w:nsid w:val="076850A5"/>
    <w:multiLevelType w:val="multilevel"/>
    <w:tmpl w:val="A62A4D9C"/>
    <w:lvl w:ilvl="0">
      <w:start w:val="17"/>
      <w:numFmt w:val="decimal"/>
      <w:lvlText w:val="%1"/>
      <w:lvlJc w:val="left"/>
      <w:pPr>
        <w:ind w:left="174" w:hanging="470"/>
      </w:pPr>
      <w:rPr>
        <w:rFonts w:hint="default"/>
        <w:lang w:val="pt-PT" w:eastAsia="en-US" w:bidi="ar-SA"/>
      </w:rPr>
    </w:lvl>
    <w:lvl w:ilvl="1">
      <w:start w:val="1"/>
      <w:numFmt w:val="decimal"/>
      <w:lvlText w:val="%1.%2"/>
      <w:lvlJc w:val="left"/>
      <w:pPr>
        <w:ind w:left="174" w:hanging="470"/>
      </w:pPr>
      <w:rPr>
        <w:rFonts w:hint="default"/>
        <w:w w:val="100"/>
        <w:lang w:val="pt-PT" w:eastAsia="en-US" w:bidi="ar-SA"/>
      </w:rPr>
    </w:lvl>
    <w:lvl w:ilvl="2">
      <w:numFmt w:val="bullet"/>
      <w:lvlText w:val="•"/>
      <w:lvlJc w:val="left"/>
      <w:pPr>
        <w:ind w:left="2085" w:hanging="470"/>
      </w:pPr>
      <w:rPr>
        <w:rFonts w:hint="default"/>
        <w:lang w:val="pt-PT" w:eastAsia="en-US" w:bidi="ar-SA"/>
      </w:rPr>
    </w:lvl>
    <w:lvl w:ilvl="3">
      <w:numFmt w:val="bullet"/>
      <w:lvlText w:val="•"/>
      <w:lvlJc w:val="left"/>
      <w:pPr>
        <w:ind w:left="3037" w:hanging="470"/>
      </w:pPr>
      <w:rPr>
        <w:rFonts w:hint="default"/>
        <w:lang w:val="pt-PT" w:eastAsia="en-US" w:bidi="ar-SA"/>
      </w:rPr>
    </w:lvl>
    <w:lvl w:ilvl="4">
      <w:numFmt w:val="bullet"/>
      <w:lvlText w:val="•"/>
      <w:lvlJc w:val="left"/>
      <w:pPr>
        <w:ind w:left="3990" w:hanging="470"/>
      </w:pPr>
      <w:rPr>
        <w:rFonts w:hint="default"/>
        <w:lang w:val="pt-PT" w:eastAsia="en-US" w:bidi="ar-SA"/>
      </w:rPr>
    </w:lvl>
    <w:lvl w:ilvl="5">
      <w:numFmt w:val="bullet"/>
      <w:lvlText w:val="•"/>
      <w:lvlJc w:val="left"/>
      <w:pPr>
        <w:ind w:left="4942" w:hanging="470"/>
      </w:pPr>
      <w:rPr>
        <w:rFonts w:hint="default"/>
        <w:lang w:val="pt-PT" w:eastAsia="en-US" w:bidi="ar-SA"/>
      </w:rPr>
    </w:lvl>
    <w:lvl w:ilvl="6">
      <w:numFmt w:val="bullet"/>
      <w:lvlText w:val="•"/>
      <w:lvlJc w:val="left"/>
      <w:pPr>
        <w:ind w:left="5895" w:hanging="470"/>
      </w:pPr>
      <w:rPr>
        <w:rFonts w:hint="default"/>
        <w:lang w:val="pt-PT" w:eastAsia="en-US" w:bidi="ar-SA"/>
      </w:rPr>
    </w:lvl>
    <w:lvl w:ilvl="7">
      <w:numFmt w:val="bullet"/>
      <w:lvlText w:val="•"/>
      <w:lvlJc w:val="left"/>
      <w:pPr>
        <w:ind w:left="6847" w:hanging="470"/>
      </w:pPr>
      <w:rPr>
        <w:rFonts w:hint="default"/>
        <w:lang w:val="pt-PT" w:eastAsia="en-US" w:bidi="ar-SA"/>
      </w:rPr>
    </w:lvl>
    <w:lvl w:ilvl="8">
      <w:numFmt w:val="bullet"/>
      <w:lvlText w:val="•"/>
      <w:lvlJc w:val="left"/>
      <w:pPr>
        <w:ind w:left="7800" w:hanging="470"/>
      </w:pPr>
      <w:rPr>
        <w:rFonts w:hint="default"/>
        <w:lang w:val="pt-PT" w:eastAsia="en-US" w:bidi="ar-SA"/>
      </w:rPr>
    </w:lvl>
  </w:abstractNum>
  <w:abstractNum w:abstractNumId="2" w15:restartNumberingAfterBreak="0">
    <w:nsid w:val="0BB72FCF"/>
    <w:multiLevelType w:val="multilevel"/>
    <w:tmpl w:val="0DB65C96"/>
    <w:lvl w:ilvl="0">
      <w:start w:val="1"/>
      <w:numFmt w:val="decimal"/>
      <w:lvlText w:val="%1."/>
      <w:lvlJc w:val="left"/>
      <w:pPr>
        <w:ind w:left="210" w:hanging="210"/>
      </w:pPr>
      <w:rPr>
        <w:rFonts w:hint="default"/>
        <w:b/>
        <w:bCs/>
        <w:w w:val="100"/>
        <w:lang w:val="pt-PT" w:eastAsia="en-US" w:bidi="ar-SA"/>
      </w:rPr>
    </w:lvl>
    <w:lvl w:ilvl="1">
      <w:start w:val="1"/>
      <w:numFmt w:val="decimal"/>
      <w:lvlText w:val="%1.%2"/>
      <w:lvlJc w:val="left"/>
      <w:pPr>
        <w:ind w:left="274" w:hanging="359"/>
      </w:pPr>
      <w:rPr>
        <w:rFonts w:hint="default"/>
        <w:spacing w:val="0"/>
        <w:w w:val="100"/>
        <w:lang w:val="pt-PT" w:eastAsia="en-US" w:bidi="ar-SA"/>
      </w:rPr>
    </w:lvl>
    <w:lvl w:ilvl="2">
      <w:numFmt w:val="bullet"/>
      <w:lvlText w:val="•"/>
      <w:lvlJc w:val="left"/>
      <w:pPr>
        <w:ind w:left="440" w:hanging="359"/>
      </w:pPr>
      <w:rPr>
        <w:rFonts w:hint="default"/>
        <w:lang w:val="pt-PT" w:eastAsia="en-US" w:bidi="ar-SA"/>
      </w:rPr>
    </w:lvl>
    <w:lvl w:ilvl="3">
      <w:numFmt w:val="bullet"/>
      <w:lvlText w:val="•"/>
      <w:lvlJc w:val="left"/>
      <w:pPr>
        <w:ind w:left="1618" w:hanging="359"/>
      </w:pPr>
      <w:rPr>
        <w:rFonts w:hint="default"/>
        <w:lang w:val="pt-PT" w:eastAsia="en-US" w:bidi="ar-SA"/>
      </w:rPr>
    </w:lvl>
    <w:lvl w:ilvl="4">
      <w:numFmt w:val="bullet"/>
      <w:lvlText w:val="•"/>
      <w:lvlJc w:val="left"/>
      <w:pPr>
        <w:ind w:left="2796" w:hanging="359"/>
      </w:pPr>
      <w:rPr>
        <w:rFonts w:hint="default"/>
        <w:lang w:val="pt-PT" w:eastAsia="en-US" w:bidi="ar-SA"/>
      </w:rPr>
    </w:lvl>
    <w:lvl w:ilvl="5">
      <w:numFmt w:val="bullet"/>
      <w:lvlText w:val="•"/>
      <w:lvlJc w:val="left"/>
      <w:pPr>
        <w:ind w:left="3974" w:hanging="359"/>
      </w:pPr>
      <w:rPr>
        <w:rFonts w:hint="default"/>
        <w:lang w:val="pt-PT" w:eastAsia="en-US" w:bidi="ar-SA"/>
      </w:rPr>
    </w:lvl>
    <w:lvl w:ilvl="6">
      <w:numFmt w:val="bullet"/>
      <w:lvlText w:val="•"/>
      <w:lvlJc w:val="left"/>
      <w:pPr>
        <w:ind w:left="5152" w:hanging="359"/>
      </w:pPr>
      <w:rPr>
        <w:rFonts w:hint="default"/>
        <w:lang w:val="pt-PT" w:eastAsia="en-US" w:bidi="ar-SA"/>
      </w:rPr>
    </w:lvl>
    <w:lvl w:ilvl="7">
      <w:numFmt w:val="bullet"/>
      <w:lvlText w:val="•"/>
      <w:lvlJc w:val="left"/>
      <w:pPr>
        <w:ind w:left="6331" w:hanging="359"/>
      </w:pPr>
      <w:rPr>
        <w:rFonts w:hint="default"/>
        <w:lang w:val="pt-PT" w:eastAsia="en-US" w:bidi="ar-SA"/>
      </w:rPr>
    </w:lvl>
    <w:lvl w:ilvl="8">
      <w:numFmt w:val="bullet"/>
      <w:lvlText w:val="•"/>
      <w:lvlJc w:val="left"/>
      <w:pPr>
        <w:ind w:left="7509" w:hanging="359"/>
      </w:pPr>
      <w:rPr>
        <w:rFonts w:hint="default"/>
        <w:lang w:val="pt-PT" w:eastAsia="en-US" w:bidi="ar-SA"/>
      </w:rPr>
    </w:lvl>
  </w:abstractNum>
  <w:abstractNum w:abstractNumId="3" w15:restartNumberingAfterBreak="0">
    <w:nsid w:val="0F513D70"/>
    <w:multiLevelType w:val="hybridMultilevel"/>
    <w:tmpl w:val="8A9E4468"/>
    <w:lvl w:ilvl="0" w:tplc="B63CAC1A">
      <w:start w:val="1"/>
      <w:numFmt w:val="lowerLetter"/>
      <w:lvlText w:val="%1)"/>
      <w:lvlJc w:val="left"/>
      <w:pPr>
        <w:ind w:left="407" w:hanging="234"/>
      </w:pPr>
      <w:rPr>
        <w:rFonts w:ascii="Arial MT" w:eastAsia="Arial MT" w:hAnsi="Arial MT" w:cs="Arial MT" w:hint="default"/>
        <w:w w:val="100"/>
        <w:sz w:val="20"/>
        <w:szCs w:val="20"/>
        <w:lang w:val="pt-PT" w:eastAsia="en-US" w:bidi="ar-SA"/>
      </w:rPr>
    </w:lvl>
    <w:lvl w:ilvl="1" w:tplc="E1204DDA">
      <w:numFmt w:val="bullet"/>
      <w:lvlText w:val="•"/>
      <w:lvlJc w:val="left"/>
      <w:pPr>
        <w:ind w:left="1330" w:hanging="234"/>
      </w:pPr>
      <w:rPr>
        <w:rFonts w:hint="default"/>
        <w:lang w:val="pt-PT" w:eastAsia="en-US" w:bidi="ar-SA"/>
      </w:rPr>
    </w:lvl>
    <w:lvl w:ilvl="2" w:tplc="1B10B1A4">
      <w:numFmt w:val="bullet"/>
      <w:lvlText w:val="•"/>
      <w:lvlJc w:val="left"/>
      <w:pPr>
        <w:ind w:left="2261" w:hanging="234"/>
      </w:pPr>
      <w:rPr>
        <w:rFonts w:hint="default"/>
        <w:lang w:val="pt-PT" w:eastAsia="en-US" w:bidi="ar-SA"/>
      </w:rPr>
    </w:lvl>
    <w:lvl w:ilvl="3" w:tplc="64FA2A6A">
      <w:numFmt w:val="bullet"/>
      <w:lvlText w:val="•"/>
      <w:lvlJc w:val="left"/>
      <w:pPr>
        <w:ind w:left="3191" w:hanging="234"/>
      </w:pPr>
      <w:rPr>
        <w:rFonts w:hint="default"/>
        <w:lang w:val="pt-PT" w:eastAsia="en-US" w:bidi="ar-SA"/>
      </w:rPr>
    </w:lvl>
    <w:lvl w:ilvl="4" w:tplc="A7A85A58">
      <w:numFmt w:val="bullet"/>
      <w:lvlText w:val="•"/>
      <w:lvlJc w:val="left"/>
      <w:pPr>
        <w:ind w:left="4122" w:hanging="234"/>
      </w:pPr>
      <w:rPr>
        <w:rFonts w:hint="default"/>
        <w:lang w:val="pt-PT" w:eastAsia="en-US" w:bidi="ar-SA"/>
      </w:rPr>
    </w:lvl>
    <w:lvl w:ilvl="5" w:tplc="6EF418BA">
      <w:numFmt w:val="bullet"/>
      <w:lvlText w:val="•"/>
      <w:lvlJc w:val="left"/>
      <w:pPr>
        <w:ind w:left="5052" w:hanging="234"/>
      </w:pPr>
      <w:rPr>
        <w:rFonts w:hint="default"/>
        <w:lang w:val="pt-PT" w:eastAsia="en-US" w:bidi="ar-SA"/>
      </w:rPr>
    </w:lvl>
    <w:lvl w:ilvl="6" w:tplc="F4003A82">
      <w:numFmt w:val="bullet"/>
      <w:lvlText w:val="•"/>
      <w:lvlJc w:val="left"/>
      <w:pPr>
        <w:ind w:left="5983" w:hanging="234"/>
      </w:pPr>
      <w:rPr>
        <w:rFonts w:hint="default"/>
        <w:lang w:val="pt-PT" w:eastAsia="en-US" w:bidi="ar-SA"/>
      </w:rPr>
    </w:lvl>
    <w:lvl w:ilvl="7" w:tplc="203C165A">
      <w:numFmt w:val="bullet"/>
      <w:lvlText w:val="•"/>
      <w:lvlJc w:val="left"/>
      <w:pPr>
        <w:ind w:left="6913" w:hanging="234"/>
      </w:pPr>
      <w:rPr>
        <w:rFonts w:hint="default"/>
        <w:lang w:val="pt-PT" w:eastAsia="en-US" w:bidi="ar-SA"/>
      </w:rPr>
    </w:lvl>
    <w:lvl w:ilvl="8" w:tplc="DD6AA806">
      <w:numFmt w:val="bullet"/>
      <w:lvlText w:val="•"/>
      <w:lvlJc w:val="left"/>
      <w:pPr>
        <w:ind w:left="7844" w:hanging="234"/>
      </w:pPr>
      <w:rPr>
        <w:rFonts w:hint="default"/>
        <w:lang w:val="pt-PT" w:eastAsia="en-US" w:bidi="ar-SA"/>
      </w:rPr>
    </w:lvl>
  </w:abstractNum>
  <w:abstractNum w:abstractNumId="4" w15:restartNumberingAfterBreak="0">
    <w:nsid w:val="0F543FBA"/>
    <w:multiLevelType w:val="multilevel"/>
    <w:tmpl w:val="D94A81DA"/>
    <w:lvl w:ilvl="0">
      <w:start w:val="1"/>
      <w:numFmt w:val="decimal"/>
      <w:lvlText w:val="%1"/>
      <w:lvlJc w:val="left"/>
      <w:pPr>
        <w:ind w:left="174" w:hanging="347"/>
      </w:pPr>
      <w:rPr>
        <w:rFonts w:hint="default"/>
        <w:lang w:val="pt-PT" w:eastAsia="en-US" w:bidi="ar-SA"/>
      </w:rPr>
    </w:lvl>
    <w:lvl w:ilvl="1">
      <w:start w:val="3"/>
      <w:numFmt w:val="decimal"/>
      <w:lvlText w:val="%1.%2"/>
      <w:lvlJc w:val="left"/>
      <w:pPr>
        <w:ind w:left="174" w:hanging="347"/>
      </w:pPr>
      <w:rPr>
        <w:rFonts w:ascii="Arial MT" w:eastAsia="Arial MT" w:hAnsi="Arial MT" w:cs="Arial MT" w:hint="default"/>
        <w:w w:val="100"/>
        <w:sz w:val="20"/>
        <w:szCs w:val="20"/>
        <w:lang w:val="pt-PT" w:eastAsia="en-US" w:bidi="ar-SA"/>
      </w:rPr>
    </w:lvl>
    <w:lvl w:ilvl="2">
      <w:start w:val="1"/>
      <w:numFmt w:val="decimal"/>
      <w:lvlText w:val="%1.%2.%3"/>
      <w:lvlJc w:val="left"/>
      <w:pPr>
        <w:ind w:left="174" w:hanging="519"/>
      </w:pPr>
      <w:rPr>
        <w:rFonts w:ascii="Arial MT" w:eastAsia="Arial MT" w:hAnsi="Arial MT" w:cs="Arial MT" w:hint="default"/>
        <w:w w:val="100"/>
        <w:sz w:val="20"/>
        <w:szCs w:val="20"/>
        <w:lang w:val="pt-PT" w:eastAsia="en-US" w:bidi="ar-SA"/>
      </w:rPr>
    </w:lvl>
    <w:lvl w:ilvl="3">
      <w:numFmt w:val="bullet"/>
      <w:lvlText w:val="•"/>
      <w:lvlJc w:val="left"/>
      <w:pPr>
        <w:ind w:left="3037" w:hanging="519"/>
      </w:pPr>
      <w:rPr>
        <w:rFonts w:hint="default"/>
        <w:lang w:val="pt-PT" w:eastAsia="en-US" w:bidi="ar-SA"/>
      </w:rPr>
    </w:lvl>
    <w:lvl w:ilvl="4">
      <w:numFmt w:val="bullet"/>
      <w:lvlText w:val="•"/>
      <w:lvlJc w:val="left"/>
      <w:pPr>
        <w:ind w:left="3990" w:hanging="519"/>
      </w:pPr>
      <w:rPr>
        <w:rFonts w:hint="default"/>
        <w:lang w:val="pt-PT" w:eastAsia="en-US" w:bidi="ar-SA"/>
      </w:rPr>
    </w:lvl>
    <w:lvl w:ilvl="5">
      <w:numFmt w:val="bullet"/>
      <w:lvlText w:val="•"/>
      <w:lvlJc w:val="left"/>
      <w:pPr>
        <w:ind w:left="4942" w:hanging="519"/>
      </w:pPr>
      <w:rPr>
        <w:rFonts w:hint="default"/>
        <w:lang w:val="pt-PT" w:eastAsia="en-US" w:bidi="ar-SA"/>
      </w:rPr>
    </w:lvl>
    <w:lvl w:ilvl="6">
      <w:numFmt w:val="bullet"/>
      <w:lvlText w:val="•"/>
      <w:lvlJc w:val="left"/>
      <w:pPr>
        <w:ind w:left="5895" w:hanging="519"/>
      </w:pPr>
      <w:rPr>
        <w:rFonts w:hint="default"/>
        <w:lang w:val="pt-PT" w:eastAsia="en-US" w:bidi="ar-SA"/>
      </w:rPr>
    </w:lvl>
    <w:lvl w:ilvl="7">
      <w:numFmt w:val="bullet"/>
      <w:lvlText w:val="•"/>
      <w:lvlJc w:val="left"/>
      <w:pPr>
        <w:ind w:left="6847" w:hanging="519"/>
      </w:pPr>
      <w:rPr>
        <w:rFonts w:hint="default"/>
        <w:lang w:val="pt-PT" w:eastAsia="en-US" w:bidi="ar-SA"/>
      </w:rPr>
    </w:lvl>
    <w:lvl w:ilvl="8">
      <w:numFmt w:val="bullet"/>
      <w:lvlText w:val="•"/>
      <w:lvlJc w:val="left"/>
      <w:pPr>
        <w:ind w:left="7800" w:hanging="519"/>
      </w:pPr>
      <w:rPr>
        <w:rFonts w:hint="default"/>
        <w:lang w:val="pt-PT" w:eastAsia="en-US" w:bidi="ar-SA"/>
      </w:rPr>
    </w:lvl>
  </w:abstractNum>
  <w:abstractNum w:abstractNumId="5" w15:restartNumberingAfterBreak="0">
    <w:nsid w:val="11B46A76"/>
    <w:multiLevelType w:val="hybridMultilevel"/>
    <w:tmpl w:val="F38617EA"/>
    <w:lvl w:ilvl="0" w:tplc="BA3ACC32">
      <w:start w:val="2"/>
      <w:numFmt w:val="decimal"/>
      <w:lvlText w:val="%1."/>
      <w:lvlJc w:val="left"/>
      <w:pPr>
        <w:ind w:left="444" w:hanging="270"/>
      </w:pPr>
      <w:rPr>
        <w:rFonts w:ascii="Times New Roman" w:eastAsia="Times New Roman" w:hAnsi="Times New Roman" w:cs="Times New Roman" w:hint="default"/>
        <w:b/>
        <w:bCs/>
        <w:w w:val="100"/>
        <w:sz w:val="27"/>
        <w:szCs w:val="27"/>
        <w:lang w:val="pt-PT" w:eastAsia="en-US" w:bidi="ar-SA"/>
      </w:rPr>
    </w:lvl>
    <w:lvl w:ilvl="1" w:tplc="24787ABC">
      <w:numFmt w:val="bullet"/>
      <w:lvlText w:val="•"/>
      <w:lvlJc w:val="left"/>
      <w:pPr>
        <w:ind w:left="1366" w:hanging="270"/>
      </w:pPr>
      <w:rPr>
        <w:rFonts w:hint="default"/>
        <w:lang w:val="pt-PT" w:eastAsia="en-US" w:bidi="ar-SA"/>
      </w:rPr>
    </w:lvl>
    <w:lvl w:ilvl="2" w:tplc="F8D6B94C">
      <w:numFmt w:val="bullet"/>
      <w:lvlText w:val="•"/>
      <w:lvlJc w:val="left"/>
      <w:pPr>
        <w:ind w:left="2293" w:hanging="270"/>
      </w:pPr>
      <w:rPr>
        <w:rFonts w:hint="default"/>
        <w:lang w:val="pt-PT" w:eastAsia="en-US" w:bidi="ar-SA"/>
      </w:rPr>
    </w:lvl>
    <w:lvl w:ilvl="3" w:tplc="1256F57C">
      <w:numFmt w:val="bullet"/>
      <w:lvlText w:val="•"/>
      <w:lvlJc w:val="left"/>
      <w:pPr>
        <w:ind w:left="3219" w:hanging="270"/>
      </w:pPr>
      <w:rPr>
        <w:rFonts w:hint="default"/>
        <w:lang w:val="pt-PT" w:eastAsia="en-US" w:bidi="ar-SA"/>
      </w:rPr>
    </w:lvl>
    <w:lvl w:ilvl="4" w:tplc="1CAA1A24">
      <w:numFmt w:val="bullet"/>
      <w:lvlText w:val="•"/>
      <w:lvlJc w:val="left"/>
      <w:pPr>
        <w:ind w:left="4146" w:hanging="270"/>
      </w:pPr>
      <w:rPr>
        <w:rFonts w:hint="default"/>
        <w:lang w:val="pt-PT" w:eastAsia="en-US" w:bidi="ar-SA"/>
      </w:rPr>
    </w:lvl>
    <w:lvl w:ilvl="5" w:tplc="285CDD30">
      <w:numFmt w:val="bullet"/>
      <w:lvlText w:val="•"/>
      <w:lvlJc w:val="left"/>
      <w:pPr>
        <w:ind w:left="5072" w:hanging="270"/>
      </w:pPr>
      <w:rPr>
        <w:rFonts w:hint="default"/>
        <w:lang w:val="pt-PT" w:eastAsia="en-US" w:bidi="ar-SA"/>
      </w:rPr>
    </w:lvl>
    <w:lvl w:ilvl="6" w:tplc="160ACA0C">
      <w:numFmt w:val="bullet"/>
      <w:lvlText w:val="•"/>
      <w:lvlJc w:val="left"/>
      <w:pPr>
        <w:ind w:left="5999" w:hanging="270"/>
      </w:pPr>
      <w:rPr>
        <w:rFonts w:hint="default"/>
        <w:lang w:val="pt-PT" w:eastAsia="en-US" w:bidi="ar-SA"/>
      </w:rPr>
    </w:lvl>
    <w:lvl w:ilvl="7" w:tplc="B940633A">
      <w:numFmt w:val="bullet"/>
      <w:lvlText w:val="•"/>
      <w:lvlJc w:val="left"/>
      <w:pPr>
        <w:ind w:left="6925" w:hanging="270"/>
      </w:pPr>
      <w:rPr>
        <w:rFonts w:hint="default"/>
        <w:lang w:val="pt-PT" w:eastAsia="en-US" w:bidi="ar-SA"/>
      </w:rPr>
    </w:lvl>
    <w:lvl w:ilvl="8" w:tplc="1DF47CB4">
      <w:numFmt w:val="bullet"/>
      <w:lvlText w:val="•"/>
      <w:lvlJc w:val="left"/>
      <w:pPr>
        <w:ind w:left="7852" w:hanging="270"/>
      </w:pPr>
      <w:rPr>
        <w:rFonts w:hint="default"/>
        <w:lang w:val="pt-PT" w:eastAsia="en-US" w:bidi="ar-SA"/>
      </w:rPr>
    </w:lvl>
  </w:abstractNum>
  <w:abstractNum w:abstractNumId="6" w15:restartNumberingAfterBreak="0">
    <w:nsid w:val="157C6B27"/>
    <w:multiLevelType w:val="multilevel"/>
    <w:tmpl w:val="251E5E88"/>
    <w:lvl w:ilvl="0">
      <w:start w:val="22"/>
      <w:numFmt w:val="decimal"/>
      <w:lvlText w:val="%1"/>
      <w:lvlJc w:val="left"/>
      <w:pPr>
        <w:ind w:left="174" w:hanging="507"/>
      </w:pPr>
      <w:rPr>
        <w:rFonts w:hint="default"/>
        <w:lang w:val="pt-PT" w:eastAsia="en-US" w:bidi="ar-SA"/>
      </w:rPr>
    </w:lvl>
    <w:lvl w:ilvl="1">
      <w:start w:val="1"/>
      <w:numFmt w:val="decimal"/>
      <w:lvlText w:val="%1.%2"/>
      <w:lvlJc w:val="left"/>
      <w:pPr>
        <w:ind w:left="174" w:hanging="507"/>
      </w:pPr>
      <w:rPr>
        <w:rFonts w:ascii="Arial MT" w:eastAsia="Arial MT" w:hAnsi="Arial MT" w:cs="Arial MT" w:hint="default"/>
        <w:spacing w:val="0"/>
        <w:w w:val="100"/>
        <w:sz w:val="20"/>
        <w:szCs w:val="20"/>
        <w:lang w:val="pt-PT" w:eastAsia="en-US" w:bidi="ar-SA"/>
      </w:rPr>
    </w:lvl>
    <w:lvl w:ilvl="2">
      <w:numFmt w:val="bullet"/>
      <w:lvlText w:val="•"/>
      <w:lvlJc w:val="left"/>
      <w:pPr>
        <w:ind w:left="2085" w:hanging="507"/>
      </w:pPr>
      <w:rPr>
        <w:rFonts w:hint="default"/>
        <w:lang w:val="pt-PT" w:eastAsia="en-US" w:bidi="ar-SA"/>
      </w:rPr>
    </w:lvl>
    <w:lvl w:ilvl="3">
      <w:numFmt w:val="bullet"/>
      <w:lvlText w:val="•"/>
      <w:lvlJc w:val="left"/>
      <w:pPr>
        <w:ind w:left="3037" w:hanging="507"/>
      </w:pPr>
      <w:rPr>
        <w:rFonts w:hint="default"/>
        <w:lang w:val="pt-PT" w:eastAsia="en-US" w:bidi="ar-SA"/>
      </w:rPr>
    </w:lvl>
    <w:lvl w:ilvl="4">
      <w:numFmt w:val="bullet"/>
      <w:lvlText w:val="•"/>
      <w:lvlJc w:val="left"/>
      <w:pPr>
        <w:ind w:left="3990" w:hanging="507"/>
      </w:pPr>
      <w:rPr>
        <w:rFonts w:hint="default"/>
        <w:lang w:val="pt-PT" w:eastAsia="en-US" w:bidi="ar-SA"/>
      </w:rPr>
    </w:lvl>
    <w:lvl w:ilvl="5">
      <w:numFmt w:val="bullet"/>
      <w:lvlText w:val="•"/>
      <w:lvlJc w:val="left"/>
      <w:pPr>
        <w:ind w:left="4942" w:hanging="507"/>
      </w:pPr>
      <w:rPr>
        <w:rFonts w:hint="default"/>
        <w:lang w:val="pt-PT" w:eastAsia="en-US" w:bidi="ar-SA"/>
      </w:rPr>
    </w:lvl>
    <w:lvl w:ilvl="6">
      <w:numFmt w:val="bullet"/>
      <w:lvlText w:val="•"/>
      <w:lvlJc w:val="left"/>
      <w:pPr>
        <w:ind w:left="5895" w:hanging="507"/>
      </w:pPr>
      <w:rPr>
        <w:rFonts w:hint="default"/>
        <w:lang w:val="pt-PT" w:eastAsia="en-US" w:bidi="ar-SA"/>
      </w:rPr>
    </w:lvl>
    <w:lvl w:ilvl="7">
      <w:numFmt w:val="bullet"/>
      <w:lvlText w:val="•"/>
      <w:lvlJc w:val="left"/>
      <w:pPr>
        <w:ind w:left="6847" w:hanging="507"/>
      </w:pPr>
      <w:rPr>
        <w:rFonts w:hint="default"/>
        <w:lang w:val="pt-PT" w:eastAsia="en-US" w:bidi="ar-SA"/>
      </w:rPr>
    </w:lvl>
    <w:lvl w:ilvl="8">
      <w:numFmt w:val="bullet"/>
      <w:lvlText w:val="•"/>
      <w:lvlJc w:val="left"/>
      <w:pPr>
        <w:ind w:left="7800" w:hanging="507"/>
      </w:pPr>
      <w:rPr>
        <w:rFonts w:hint="default"/>
        <w:lang w:val="pt-PT" w:eastAsia="en-US" w:bidi="ar-SA"/>
      </w:rPr>
    </w:lvl>
  </w:abstractNum>
  <w:abstractNum w:abstractNumId="7" w15:restartNumberingAfterBreak="0">
    <w:nsid w:val="15F33CBA"/>
    <w:multiLevelType w:val="hybridMultilevel"/>
    <w:tmpl w:val="BE6CB054"/>
    <w:lvl w:ilvl="0" w:tplc="F9A0F014">
      <w:start w:val="1"/>
      <w:numFmt w:val="lowerLetter"/>
      <w:lvlText w:val="%1)"/>
      <w:lvlJc w:val="left"/>
      <w:pPr>
        <w:ind w:left="23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C5C2478E">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99EC5E7C">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34C86D66">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52420EE6">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DA78AA38">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959892C2">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7FAA31F0">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34365D96">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8" w15:restartNumberingAfterBreak="0">
    <w:nsid w:val="16D22D1A"/>
    <w:multiLevelType w:val="multilevel"/>
    <w:tmpl w:val="E52668FE"/>
    <w:lvl w:ilvl="0">
      <w:start w:val="4"/>
      <w:numFmt w:val="decimal"/>
      <w:lvlText w:val="%1"/>
      <w:lvlJc w:val="left"/>
      <w:pPr>
        <w:ind w:left="174" w:hanging="415"/>
      </w:pPr>
      <w:rPr>
        <w:rFonts w:hint="default"/>
        <w:lang w:val="pt-PT" w:eastAsia="en-US" w:bidi="ar-SA"/>
      </w:rPr>
    </w:lvl>
    <w:lvl w:ilvl="1">
      <w:start w:val="1"/>
      <w:numFmt w:val="decimal"/>
      <w:lvlText w:val="%1.%2."/>
      <w:lvlJc w:val="left"/>
      <w:pPr>
        <w:ind w:left="174" w:hanging="415"/>
      </w:pPr>
      <w:rPr>
        <w:rFonts w:ascii="Arial MT" w:eastAsia="Arial MT" w:hAnsi="Arial MT" w:cs="Arial MT" w:hint="default"/>
        <w:w w:val="100"/>
        <w:sz w:val="20"/>
        <w:szCs w:val="20"/>
        <w:lang w:val="pt-PT" w:eastAsia="en-US" w:bidi="ar-SA"/>
      </w:rPr>
    </w:lvl>
    <w:lvl w:ilvl="2">
      <w:numFmt w:val="bullet"/>
      <w:lvlText w:val="•"/>
      <w:lvlJc w:val="left"/>
      <w:pPr>
        <w:ind w:left="2085" w:hanging="415"/>
      </w:pPr>
      <w:rPr>
        <w:rFonts w:hint="default"/>
        <w:lang w:val="pt-PT" w:eastAsia="en-US" w:bidi="ar-SA"/>
      </w:rPr>
    </w:lvl>
    <w:lvl w:ilvl="3">
      <w:numFmt w:val="bullet"/>
      <w:lvlText w:val="•"/>
      <w:lvlJc w:val="left"/>
      <w:pPr>
        <w:ind w:left="3037" w:hanging="415"/>
      </w:pPr>
      <w:rPr>
        <w:rFonts w:hint="default"/>
        <w:lang w:val="pt-PT" w:eastAsia="en-US" w:bidi="ar-SA"/>
      </w:rPr>
    </w:lvl>
    <w:lvl w:ilvl="4">
      <w:numFmt w:val="bullet"/>
      <w:lvlText w:val="•"/>
      <w:lvlJc w:val="left"/>
      <w:pPr>
        <w:ind w:left="3990" w:hanging="415"/>
      </w:pPr>
      <w:rPr>
        <w:rFonts w:hint="default"/>
        <w:lang w:val="pt-PT" w:eastAsia="en-US" w:bidi="ar-SA"/>
      </w:rPr>
    </w:lvl>
    <w:lvl w:ilvl="5">
      <w:numFmt w:val="bullet"/>
      <w:lvlText w:val="•"/>
      <w:lvlJc w:val="left"/>
      <w:pPr>
        <w:ind w:left="4942" w:hanging="415"/>
      </w:pPr>
      <w:rPr>
        <w:rFonts w:hint="default"/>
        <w:lang w:val="pt-PT" w:eastAsia="en-US" w:bidi="ar-SA"/>
      </w:rPr>
    </w:lvl>
    <w:lvl w:ilvl="6">
      <w:numFmt w:val="bullet"/>
      <w:lvlText w:val="•"/>
      <w:lvlJc w:val="left"/>
      <w:pPr>
        <w:ind w:left="5895" w:hanging="415"/>
      </w:pPr>
      <w:rPr>
        <w:rFonts w:hint="default"/>
        <w:lang w:val="pt-PT" w:eastAsia="en-US" w:bidi="ar-SA"/>
      </w:rPr>
    </w:lvl>
    <w:lvl w:ilvl="7">
      <w:numFmt w:val="bullet"/>
      <w:lvlText w:val="•"/>
      <w:lvlJc w:val="left"/>
      <w:pPr>
        <w:ind w:left="6847" w:hanging="415"/>
      </w:pPr>
      <w:rPr>
        <w:rFonts w:hint="default"/>
        <w:lang w:val="pt-PT" w:eastAsia="en-US" w:bidi="ar-SA"/>
      </w:rPr>
    </w:lvl>
    <w:lvl w:ilvl="8">
      <w:numFmt w:val="bullet"/>
      <w:lvlText w:val="•"/>
      <w:lvlJc w:val="left"/>
      <w:pPr>
        <w:ind w:left="7800" w:hanging="415"/>
      </w:pPr>
      <w:rPr>
        <w:rFonts w:hint="default"/>
        <w:lang w:val="pt-PT" w:eastAsia="en-US" w:bidi="ar-SA"/>
      </w:rPr>
    </w:lvl>
  </w:abstractNum>
  <w:abstractNum w:abstractNumId="9" w15:restartNumberingAfterBreak="0">
    <w:nsid w:val="17B81853"/>
    <w:multiLevelType w:val="multilevel"/>
    <w:tmpl w:val="AD02AD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CBA5573"/>
    <w:multiLevelType w:val="multilevel"/>
    <w:tmpl w:val="AEEC39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2D16F66"/>
    <w:multiLevelType w:val="multilevel"/>
    <w:tmpl w:val="78E8BB84"/>
    <w:lvl w:ilvl="0">
      <w:start w:val="1"/>
      <w:numFmt w:val="decimal"/>
      <w:lvlText w:val="%1."/>
      <w:lvlJc w:val="left"/>
      <w:pPr>
        <w:ind w:left="431" w:hanging="210"/>
      </w:pPr>
      <w:rPr>
        <w:rFonts w:hint="default"/>
        <w:b/>
        <w:bCs/>
        <w:w w:val="100"/>
        <w:lang w:val="pt-PT" w:eastAsia="en-US" w:bidi="ar-SA"/>
      </w:rPr>
    </w:lvl>
    <w:lvl w:ilvl="1">
      <w:start w:val="1"/>
      <w:numFmt w:val="decimal"/>
      <w:lvlText w:val="%1.%2"/>
      <w:lvlJc w:val="left"/>
      <w:pPr>
        <w:ind w:left="265" w:hanging="275"/>
      </w:pPr>
      <w:rPr>
        <w:rFonts w:ascii="Arial MT" w:eastAsia="Arial MT" w:hAnsi="Arial MT" w:cs="Arial MT" w:hint="default"/>
        <w:spacing w:val="-1"/>
        <w:w w:val="103"/>
        <w:sz w:val="16"/>
        <w:szCs w:val="16"/>
        <w:lang w:val="pt-PT" w:eastAsia="en-US" w:bidi="ar-SA"/>
      </w:rPr>
    </w:lvl>
    <w:lvl w:ilvl="2">
      <w:numFmt w:val="bullet"/>
      <w:lvlText w:val="•"/>
      <w:lvlJc w:val="left"/>
      <w:pPr>
        <w:ind w:left="1487" w:hanging="275"/>
      </w:pPr>
      <w:rPr>
        <w:rFonts w:hint="default"/>
        <w:lang w:val="pt-PT" w:eastAsia="en-US" w:bidi="ar-SA"/>
      </w:rPr>
    </w:lvl>
    <w:lvl w:ilvl="3">
      <w:numFmt w:val="bullet"/>
      <w:lvlText w:val="•"/>
      <w:lvlJc w:val="left"/>
      <w:pPr>
        <w:ind w:left="2534" w:hanging="275"/>
      </w:pPr>
      <w:rPr>
        <w:rFonts w:hint="default"/>
        <w:lang w:val="pt-PT" w:eastAsia="en-US" w:bidi="ar-SA"/>
      </w:rPr>
    </w:lvl>
    <w:lvl w:ilvl="4">
      <w:numFmt w:val="bullet"/>
      <w:lvlText w:val="•"/>
      <w:lvlJc w:val="left"/>
      <w:pPr>
        <w:ind w:left="3581" w:hanging="275"/>
      </w:pPr>
      <w:rPr>
        <w:rFonts w:hint="default"/>
        <w:lang w:val="pt-PT" w:eastAsia="en-US" w:bidi="ar-SA"/>
      </w:rPr>
    </w:lvl>
    <w:lvl w:ilvl="5">
      <w:numFmt w:val="bullet"/>
      <w:lvlText w:val="•"/>
      <w:lvlJc w:val="left"/>
      <w:pPr>
        <w:ind w:left="4629" w:hanging="275"/>
      </w:pPr>
      <w:rPr>
        <w:rFonts w:hint="default"/>
        <w:lang w:val="pt-PT" w:eastAsia="en-US" w:bidi="ar-SA"/>
      </w:rPr>
    </w:lvl>
    <w:lvl w:ilvl="6">
      <w:numFmt w:val="bullet"/>
      <w:lvlText w:val="•"/>
      <w:lvlJc w:val="left"/>
      <w:pPr>
        <w:ind w:left="5676" w:hanging="275"/>
      </w:pPr>
      <w:rPr>
        <w:rFonts w:hint="default"/>
        <w:lang w:val="pt-PT" w:eastAsia="en-US" w:bidi="ar-SA"/>
      </w:rPr>
    </w:lvl>
    <w:lvl w:ilvl="7">
      <w:numFmt w:val="bullet"/>
      <w:lvlText w:val="•"/>
      <w:lvlJc w:val="left"/>
      <w:pPr>
        <w:ind w:left="6723" w:hanging="275"/>
      </w:pPr>
      <w:rPr>
        <w:rFonts w:hint="default"/>
        <w:lang w:val="pt-PT" w:eastAsia="en-US" w:bidi="ar-SA"/>
      </w:rPr>
    </w:lvl>
    <w:lvl w:ilvl="8">
      <w:numFmt w:val="bullet"/>
      <w:lvlText w:val="•"/>
      <w:lvlJc w:val="left"/>
      <w:pPr>
        <w:ind w:left="7771" w:hanging="275"/>
      </w:pPr>
      <w:rPr>
        <w:rFonts w:hint="default"/>
        <w:lang w:val="pt-PT" w:eastAsia="en-US" w:bidi="ar-SA"/>
      </w:rPr>
    </w:lvl>
  </w:abstractNum>
  <w:abstractNum w:abstractNumId="12" w15:restartNumberingAfterBreak="0">
    <w:nsid w:val="290C5C39"/>
    <w:multiLevelType w:val="multilevel"/>
    <w:tmpl w:val="506EDAE8"/>
    <w:lvl w:ilvl="0">
      <w:start w:val="2"/>
      <w:numFmt w:val="decimal"/>
      <w:lvlText w:val="%1"/>
      <w:lvlJc w:val="left"/>
      <w:pPr>
        <w:ind w:left="174" w:hanging="417"/>
      </w:pPr>
      <w:rPr>
        <w:rFonts w:hint="default"/>
        <w:lang w:val="pt-PT" w:eastAsia="en-US" w:bidi="ar-SA"/>
      </w:rPr>
    </w:lvl>
    <w:lvl w:ilvl="1">
      <w:start w:val="1"/>
      <w:numFmt w:val="decimal"/>
      <w:lvlText w:val="%1.%2."/>
      <w:lvlJc w:val="left"/>
      <w:pPr>
        <w:ind w:left="174" w:hanging="417"/>
      </w:pPr>
      <w:rPr>
        <w:rFonts w:ascii="Arial MT" w:eastAsia="Arial MT" w:hAnsi="Arial MT" w:cs="Arial MT" w:hint="default"/>
        <w:w w:val="100"/>
        <w:sz w:val="20"/>
        <w:szCs w:val="20"/>
        <w:lang w:val="pt-PT" w:eastAsia="en-US" w:bidi="ar-SA"/>
      </w:rPr>
    </w:lvl>
    <w:lvl w:ilvl="2">
      <w:numFmt w:val="bullet"/>
      <w:lvlText w:val="•"/>
      <w:lvlJc w:val="left"/>
      <w:pPr>
        <w:ind w:left="2085" w:hanging="417"/>
      </w:pPr>
      <w:rPr>
        <w:rFonts w:hint="default"/>
        <w:lang w:val="pt-PT" w:eastAsia="en-US" w:bidi="ar-SA"/>
      </w:rPr>
    </w:lvl>
    <w:lvl w:ilvl="3">
      <w:numFmt w:val="bullet"/>
      <w:lvlText w:val="•"/>
      <w:lvlJc w:val="left"/>
      <w:pPr>
        <w:ind w:left="3037" w:hanging="417"/>
      </w:pPr>
      <w:rPr>
        <w:rFonts w:hint="default"/>
        <w:lang w:val="pt-PT" w:eastAsia="en-US" w:bidi="ar-SA"/>
      </w:rPr>
    </w:lvl>
    <w:lvl w:ilvl="4">
      <w:numFmt w:val="bullet"/>
      <w:lvlText w:val="•"/>
      <w:lvlJc w:val="left"/>
      <w:pPr>
        <w:ind w:left="3990" w:hanging="417"/>
      </w:pPr>
      <w:rPr>
        <w:rFonts w:hint="default"/>
        <w:lang w:val="pt-PT" w:eastAsia="en-US" w:bidi="ar-SA"/>
      </w:rPr>
    </w:lvl>
    <w:lvl w:ilvl="5">
      <w:numFmt w:val="bullet"/>
      <w:lvlText w:val="•"/>
      <w:lvlJc w:val="left"/>
      <w:pPr>
        <w:ind w:left="4942" w:hanging="417"/>
      </w:pPr>
      <w:rPr>
        <w:rFonts w:hint="default"/>
        <w:lang w:val="pt-PT" w:eastAsia="en-US" w:bidi="ar-SA"/>
      </w:rPr>
    </w:lvl>
    <w:lvl w:ilvl="6">
      <w:numFmt w:val="bullet"/>
      <w:lvlText w:val="•"/>
      <w:lvlJc w:val="left"/>
      <w:pPr>
        <w:ind w:left="5895" w:hanging="417"/>
      </w:pPr>
      <w:rPr>
        <w:rFonts w:hint="default"/>
        <w:lang w:val="pt-PT" w:eastAsia="en-US" w:bidi="ar-SA"/>
      </w:rPr>
    </w:lvl>
    <w:lvl w:ilvl="7">
      <w:numFmt w:val="bullet"/>
      <w:lvlText w:val="•"/>
      <w:lvlJc w:val="left"/>
      <w:pPr>
        <w:ind w:left="6847" w:hanging="417"/>
      </w:pPr>
      <w:rPr>
        <w:rFonts w:hint="default"/>
        <w:lang w:val="pt-PT" w:eastAsia="en-US" w:bidi="ar-SA"/>
      </w:rPr>
    </w:lvl>
    <w:lvl w:ilvl="8">
      <w:numFmt w:val="bullet"/>
      <w:lvlText w:val="•"/>
      <w:lvlJc w:val="left"/>
      <w:pPr>
        <w:ind w:left="7800" w:hanging="417"/>
      </w:pPr>
      <w:rPr>
        <w:rFonts w:hint="default"/>
        <w:lang w:val="pt-PT" w:eastAsia="en-US" w:bidi="ar-SA"/>
      </w:rPr>
    </w:lvl>
  </w:abstractNum>
  <w:abstractNum w:abstractNumId="13" w15:restartNumberingAfterBreak="0">
    <w:nsid w:val="2C685791"/>
    <w:multiLevelType w:val="multilevel"/>
    <w:tmpl w:val="3F1CA0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8E1406D"/>
    <w:multiLevelType w:val="multilevel"/>
    <w:tmpl w:val="A154BAE2"/>
    <w:lvl w:ilvl="0">
      <w:start w:val="1"/>
      <w:numFmt w:val="decimal"/>
      <w:lvlText w:val="%1."/>
      <w:lvlJc w:val="left"/>
      <w:pPr>
        <w:ind w:left="1688" w:hanging="270"/>
      </w:pPr>
      <w:rPr>
        <w:rFonts w:ascii="Arial" w:eastAsia="Times New Roman" w:hAnsi="Arial" w:cs="Arial" w:hint="default"/>
        <w:b/>
        <w:bCs/>
        <w:i w:val="0"/>
        <w:iCs w:val="0"/>
        <w:spacing w:val="0"/>
        <w:w w:val="100"/>
        <w:sz w:val="18"/>
        <w:szCs w:val="18"/>
        <w:lang w:val="pt-PT" w:eastAsia="en-US" w:bidi="ar-SA"/>
      </w:rPr>
    </w:lvl>
    <w:lvl w:ilvl="1">
      <w:start w:val="1"/>
      <w:numFmt w:val="decimal"/>
      <w:lvlText w:val="%1.%2."/>
      <w:lvlJc w:val="left"/>
      <w:pPr>
        <w:ind w:left="6571" w:hanging="475"/>
      </w:pPr>
      <w:rPr>
        <w:rFonts w:hint="default"/>
        <w:spacing w:val="0"/>
        <w:w w:val="100"/>
        <w:lang w:val="pt-PT" w:eastAsia="en-US" w:bidi="ar-SA"/>
      </w:rPr>
    </w:lvl>
    <w:lvl w:ilvl="2">
      <w:numFmt w:val="bullet"/>
      <w:lvlText w:val="•"/>
      <w:lvlJc w:val="left"/>
      <w:pPr>
        <w:ind w:left="580" w:hanging="475"/>
      </w:pPr>
      <w:rPr>
        <w:rFonts w:hint="default"/>
        <w:lang w:val="pt-PT" w:eastAsia="en-US" w:bidi="ar-SA"/>
      </w:rPr>
    </w:lvl>
    <w:lvl w:ilvl="3">
      <w:numFmt w:val="bullet"/>
      <w:lvlText w:val="•"/>
      <w:lvlJc w:val="left"/>
      <w:pPr>
        <w:ind w:left="1710" w:hanging="475"/>
      </w:pPr>
      <w:rPr>
        <w:rFonts w:hint="default"/>
        <w:lang w:val="pt-PT" w:eastAsia="en-US" w:bidi="ar-SA"/>
      </w:rPr>
    </w:lvl>
    <w:lvl w:ilvl="4">
      <w:numFmt w:val="bullet"/>
      <w:lvlText w:val="•"/>
      <w:lvlJc w:val="left"/>
      <w:pPr>
        <w:ind w:left="2841" w:hanging="475"/>
      </w:pPr>
      <w:rPr>
        <w:rFonts w:hint="default"/>
        <w:lang w:val="pt-PT" w:eastAsia="en-US" w:bidi="ar-SA"/>
      </w:rPr>
    </w:lvl>
    <w:lvl w:ilvl="5">
      <w:numFmt w:val="bullet"/>
      <w:lvlText w:val="•"/>
      <w:lvlJc w:val="left"/>
      <w:pPr>
        <w:ind w:left="3972" w:hanging="475"/>
      </w:pPr>
      <w:rPr>
        <w:rFonts w:hint="default"/>
        <w:lang w:val="pt-PT" w:eastAsia="en-US" w:bidi="ar-SA"/>
      </w:rPr>
    </w:lvl>
    <w:lvl w:ilvl="6">
      <w:numFmt w:val="bullet"/>
      <w:lvlText w:val="•"/>
      <w:lvlJc w:val="left"/>
      <w:pPr>
        <w:ind w:left="5102" w:hanging="475"/>
      </w:pPr>
      <w:rPr>
        <w:rFonts w:hint="default"/>
        <w:lang w:val="pt-PT" w:eastAsia="en-US" w:bidi="ar-SA"/>
      </w:rPr>
    </w:lvl>
    <w:lvl w:ilvl="7">
      <w:numFmt w:val="bullet"/>
      <w:lvlText w:val="•"/>
      <w:lvlJc w:val="left"/>
      <w:pPr>
        <w:ind w:left="6233" w:hanging="475"/>
      </w:pPr>
      <w:rPr>
        <w:rFonts w:hint="default"/>
        <w:lang w:val="pt-PT" w:eastAsia="en-US" w:bidi="ar-SA"/>
      </w:rPr>
    </w:lvl>
    <w:lvl w:ilvl="8">
      <w:numFmt w:val="bullet"/>
      <w:lvlText w:val="•"/>
      <w:lvlJc w:val="left"/>
      <w:pPr>
        <w:ind w:left="7364" w:hanging="475"/>
      </w:pPr>
      <w:rPr>
        <w:rFonts w:hint="default"/>
        <w:lang w:val="pt-PT" w:eastAsia="en-US" w:bidi="ar-SA"/>
      </w:rPr>
    </w:lvl>
  </w:abstractNum>
  <w:abstractNum w:abstractNumId="15" w15:restartNumberingAfterBreak="0">
    <w:nsid w:val="3CB9339E"/>
    <w:multiLevelType w:val="hybridMultilevel"/>
    <w:tmpl w:val="C9CADF9E"/>
    <w:lvl w:ilvl="0" w:tplc="5A389488">
      <w:start w:val="1"/>
      <w:numFmt w:val="lowerLetter"/>
      <w:lvlText w:val="%1."/>
      <w:lvlJc w:val="left"/>
      <w:pPr>
        <w:ind w:left="605"/>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1" w:tplc="ABF8CF48">
      <w:start w:val="1"/>
      <w:numFmt w:val="lowerLetter"/>
      <w:lvlText w:val="%2"/>
      <w:lvlJc w:val="left"/>
      <w:pPr>
        <w:ind w:left="1462"/>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2" w:tplc="9F76E18E">
      <w:start w:val="1"/>
      <w:numFmt w:val="lowerRoman"/>
      <w:lvlText w:val="%3"/>
      <w:lvlJc w:val="left"/>
      <w:pPr>
        <w:ind w:left="2182"/>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3" w:tplc="B9D22B9C">
      <w:start w:val="1"/>
      <w:numFmt w:val="decimal"/>
      <w:lvlText w:val="%4"/>
      <w:lvlJc w:val="left"/>
      <w:pPr>
        <w:ind w:left="2902"/>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4" w:tplc="81E0E1DC">
      <w:start w:val="1"/>
      <w:numFmt w:val="lowerLetter"/>
      <w:lvlText w:val="%5"/>
      <w:lvlJc w:val="left"/>
      <w:pPr>
        <w:ind w:left="3622"/>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5" w:tplc="32E01F9A">
      <w:start w:val="1"/>
      <w:numFmt w:val="lowerRoman"/>
      <w:lvlText w:val="%6"/>
      <w:lvlJc w:val="left"/>
      <w:pPr>
        <w:ind w:left="4342"/>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6" w:tplc="D78EF1B2">
      <w:start w:val="1"/>
      <w:numFmt w:val="decimal"/>
      <w:lvlText w:val="%7"/>
      <w:lvlJc w:val="left"/>
      <w:pPr>
        <w:ind w:left="5062"/>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7" w:tplc="02EC63F0">
      <w:start w:val="1"/>
      <w:numFmt w:val="lowerLetter"/>
      <w:lvlText w:val="%8"/>
      <w:lvlJc w:val="left"/>
      <w:pPr>
        <w:ind w:left="5782"/>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8" w:tplc="7264FD7A">
      <w:start w:val="1"/>
      <w:numFmt w:val="lowerRoman"/>
      <w:lvlText w:val="%9"/>
      <w:lvlJc w:val="left"/>
      <w:pPr>
        <w:ind w:left="6502"/>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abstractNum>
  <w:abstractNum w:abstractNumId="16" w15:restartNumberingAfterBreak="0">
    <w:nsid w:val="402B6526"/>
    <w:multiLevelType w:val="multilevel"/>
    <w:tmpl w:val="121285D4"/>
    <w:lvl w:ilvl="0">
      <w:start w:val="1"/>
      <w:numFmt w:val="decimal"/>
      <w:lvlText w:val="%1."/>
      <w:lvlJc w:val="left"/>
      <w:pPr>
        <w:ind w:left="720" w:hanging="360"/>
      </w:pPr>
      <w:rPr>
        <w:rFonts w:hint="default"/>
        <w:b/>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412C6EC1"/>
    <w:multiLevelType w:val="multilevel"/>
    <w:tmpl w:val="8D50B09C"/>
    <w:lvl w:ilvl="0">
      <w:start w:val="9"/>
      <w:numFmt w:val="decimal"/>
      <w:lvlText w:val="%1."/>
      <w:lvlJc w:val="left"/>
      <w:pPr>
        <w:ind w:left="174" w:hanging="234"/>
        <w:jc w:val="right"/>
      </w:pPr>
      <w:rPr>
        <w:rFonts w:hint="default"/>
        <w:b/>
        <w:bCs/>
        <w:w w:val="100"/>
        <w:lang w:val="pt-PT" w:eastAsia="en-US" w:bidi="ar-SA"/>
      </w:rPr>
    </w:lvl>
    <w:lvl w:ilvl="1">
      <w:start w:val="1"/>
      <w:numFmt w:val="decimal"/>
      <w:lvlText w:val="%1.%2."/>
      <w:lvlJc w:val="left"/>
      <w:pPr>
        <w:ind w:left="174" w:hanging="562"/>
      </w:pPr>
      <w:rPr>
        <w:rFonts w:hint="default"/>
        <w:spacing w:val="0"/>
        <w:w w:val="100"/>
        <w:lang w:val="pt-PT" w:eastAsia="en-US" w:bidi="ar-SA"/>
      </w:rPr>
    </w:lvl>
    <w:lvl w:ilvl="2">
      <w:start w:val="1"/>
      <w:numFmt w:val="decimal"/>
      <w:lvlText w:val="%1.%2.%3."/>
      <w:lvlJc w:val="left"/>
      <w:pPr>
        <w:ind w:left="174" w:hanging="562"/>
      </w:pPr>
      <w:rPr>
        <w:rFonts w:ascii="Arial MT" w:eastAsia="Arial MT" w:hAnsi="Arial MT" w:cs="Arial MT" w:hint="default"/>
        <w:w w:val="100"/>
        <w:sz w:val="20"/>
        <w:szCs w:val="20"/>
        <w:lang w:val="pt-PT" w:eastAsia="en-US" w:bidi="ar-SA"/>
      </w:rPr>
    </w:lvl>
    <w:lvl w:ilvl="3">
      <w:numFmt w:val="bullet"/>
      <w:lvlText w:val="•"/>
      <w:lvlJc w:val="left"/>
      <w:pPr>
        <w:ind w:left="1948" w:hanging="562"/>
      </w:pPr>
      <w:rPr>
        <w:rFonts w:hint="default"/>
        <w:lang w:val="pt-PT" w:eastAsia="en-US" w:bidi="ar-SA"/>
      </w:rPr>
    </w:lvl>
    <w:lvl w:ilvl="4">
      <w:numFmt w:val="bullet"/>
      <w:lvlText w:val="•"/>
      <w:lvlJc w:val="left"/>
      <w:pPr>
        <w:ind w:left="3056" w:hanging="562"/>
      </w:pPr>
      <w:rPr>
        <w:rFonts w:hint="default"/>
        <w:lang w:val="pt-PT" w:eastAsia="en-US" w:bidi="ar-SA"/>
      </w:rPr>
    </w:lvl>
    <w:lvl w:ilvl="5">
      <w:numFmt w:val="bullet"/>
      <w:lvlText w:val="•"/>
      <w:lvlJc w:val="left"/>
      <w:pPr>
        <w:ind w:left="4164" w:hanging="562"/>
      </w:pPr>
      <w:rPr>
        <w:rFonts w:hint="default"/>
        <w:lang w:val="pt-PT" w:eastAsia="en-US" w:bidi="ar-SA"/>
      </w:rPr>
    </w:lvl>
    <w:lvl w:ilvl="6">
      <w:numFmt w:val="bullet"/>
      <w:lvlText w:val="•"/>
      <w:lvlJc w:val="left"/>
      <w:pPr>
        <w:ind w:left="5272" w:hanging="562"/>
      </w:pPr>
      <w:rPr>
        <w:rFonts w:hint="default"/>
        <w:lang w:val="pt-PT" w:eastAsia="en-US" w:bidi="ar-SA"/>
      </w:rPr>
    </w:lvl>
    <w:lvl w:ilvl="7">
      <w:numFmt w:val="bullet"/>
      <w:lvlText w:val="•"/>
      <w:lvlJc w:val="left"/>
      <w:pPr>
        <w:ind w:left="6381" w:hanging="562"/>
      </w:pPr>
      <w:rPr>
        <w:rFonts w:hint="default"/>
        <w:lang w:val="pt-PT" w:eastAsia="en-US" w:bidi="ar-SA"/>
      </w:rPr>
    </w:lvl>
    <w:lvl w:ilvl="8">
      <w:numFmt w:val="bullet"/>
      <w:lvlText w:val="•"/>
      <w:lvlJc w:val="left"/>
      <w:pPr>
        <w:ind w:left="7489" w:hanging="562"/>
      </w:pPr>
      <w:rPr>
        <w:rFonts w:hint="default"/>
        <w:lang w:val="pt-PT" w:eastAsia="en-US" w:bidi="ar-SA"/>
      </w:rPr>
    </w:lvl>
  </w:abstractNum>
  <w:abstractNum w:abstractNumId="18" w15:restartNumberingAfterBreak="0">
    <w:nsid w:val="41BA46E0"/>
    <w:multiLevelType w:val="hybridMultilevel"/>
    <w:tmpl w:val="88D03B7C"/>
    <w:lvl w:ilvl="0" w:tplc="893893DE">
      <w:start w:val="1"/>
      <w:numFmt w:val="lowerLetter"/>
      <w:lvlText w:val="%1)"/>
      <w:lvlJc w:val="left"/>
      <w:pPr>
        <w:ind w:left="23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1276A5B2">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4ABEC7E8">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C7A0D1D2">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DC5C3F78">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2F58B7EA">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281299E6">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8D0EC814">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5224857E">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9" w15:restartNumberingAfterBreak="0">
    <w:nsid w:val="42353AD4"/>
    <w:multiLevelType w:val="hybridMultilevel"/>
    <w:tmpl w:val="2BD27510"/>
    <w:lvl w:ilvl="0" w:tplc="5F129390">
      <w:start w:val="1"/>
      <w:numFmt w:val="upperRoman"/>
      <w:lvlText w:val="%1)"/>
      <w:lvlJc w:val="left"/>
      <w:pPr>
        <w:ind w:left="352" w:hanging="179"/>
      </w:pPr>
      <w:rPr>
        <w:rFonts w:hint="default"/>
        <w:b/>
        <w:bCs/>
        <w:w w:val="100"/>
        <w:lang w:val="pt-PT" w:eastAsia="en-US" w:bidi="ar-SA"/>
      </w:rPr>
    </w:lvl>
    <w:lvl w:ilvl="1" w:tplc="60528410">
      <w:numFmt w:val="bullet"/>
      <w:lvlText w:val="•"/>
      <w:lvlJc w:val="left"/>
      <w:pPr>
        <w:ind w:left="1294" w:hanging="179"/>
      </w:pPr>
      <w:rPr>
        <w:rFonts w:hint="default"/>
        <w:lang w:val="pt-PT" w:eastAsia="en-US" w:bidi="ar-SA"/>
      </w:rPr>
    </w:lvl>
    <w:lvl w:ilvl="2" w:tplc="F3801FC4">
      <w:numFmt w:val="bullet"/>
      <w:lvlText w:val="•"/>
      <w:lvlJc w:val="left"/>
      <w:pPr>
        <w:ind w:left="2229" w:hanging="179"/>
      </w:pPr>
      <w:rPr>
        <w:rFonts w:hint="default"/>
        <w:lang w:val="pt-PT" w:eastAsia="en-US" w:bidi="ar-SA"/>
      </w:rPr>
    </w:lvl>
    <w:lvl w:ilvl="3" w:tplc="1A768134">
      <w:numFmt w:val="bullet"/>
      <w:lvlText w:val="•"/>
      <w:lvlJc w:val="left"/>
      <w:pPr>
        <w:ind w:left="3163" w:hanging="179"/>
      </w:pPr>
      <w:rPr>
        <w:rFonts w:hint="default"/>
        <w:lang w:val="pt-PT" w:eastAsia="en-US" w:bidi="ar-SA"/>
      </w:rPr>
    </w:lvl>
    <w:lvl w:ilvl="4" w:tplc="1280F46C">
      <w:numFmt w:val="bullet"/>
      <w:lvlText w:val="•"/>
      <w:lvlJc w:val="left"/>
      <w:pPr>
        <w:ind w:left="4098" w:hanging="179"/>
      </w:pPr>
      <w:rPr>
        <w:rFonts w:hint="default"/>
        <w:lang w:val="pt-PT" w:eastAsia="en-US" w:bidi="ar-SA"/>
      </w:rPr>
    </w:lvl>
    <w:lvl w:ilvl="5" w:tplc="81924DA2">
      <w:numFmt w:val="bullet"/>
      <w:lvlText w:val="•"/>
      <w:lvlJc w:val="left"/>
      <w:pPr>
        <w:ind w:left="5032" w:hanging="179"/>
      </w:pPr>
      <w:rPr>
        <w:rFonts w:hint="default"/>
        <w:lang w:val="pt-PT" w:eastAsia="en-US" w:bidi="ar-SA"/>
      </w:rPr>
    </w:lvl>
    <w:lvl w:ilvl="6" w:tplc="B1F2FF8A">
      <w:numFmt w:val="bullet"/>
      <w:lvlText w:val="•"/>
      <w:lvlJc w:val="left"/>
      <w:pPr>
        <w:ind w:left="5967" w:hanging="179"/>
      </w:pPr>
      <w:rPr>
        <w:rFonts w:hint="default"/>
        <w:lang w:val="pt-PT" w:eastAsia="en-US" w:bidi="ar-SA"/>
      </w:rPr>
    </w:lvl>
    <w:lvl w:ilvl="7" w:tplc="1130B5C8">
      <w:numFmt w:val="bullet"/>
      <w:lvlText w:val="•"/>
      <w:lvlJc w:val="left"/>
      <w:pPr>
        <w:ind w:left="6901" w:hanging="179"/>
      </w:pPr>
      <w:rPr>
        <w:rFonts w:hint="default"/>
        <w:lang w:val="pt-PT" w:eastAsia="en-US" w:bidi="ar-SA"/>
      </w:rPr>
    </w:lvl>
    <w:lvl w:ilvl="8" w:tplc="587E67D8">
      <w:numFmt w:val="bullet"/>
      <w:lvlText w:val="•"/>
      <w:lvlJc w:val="left"/>
      <w:pPr>
        <w:ind w:left="7836" w:hanging="179"/>
      </w:pPr>
      <w:rPr>
        <w:rFonts w:hint="default"/>
        <w:lang w:val="pt-PT" w:eastAsia="en-US" w:bidi="ar-SA"/>
      </w:rPr>
    </w:lvl>
  </w:abstractNum>
  <w:abstractNum w:abstractNumId="20" w15:restartNumberingAfterBreak="0">
    <w:nsid w:val="42FB5799"/>
    <w:multiLevelType w:val="multilevel"/>
    <w:tmpl w:val="A426BF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3705811"/>
    <w:multiLevelType w:val="multilevel"/>
    <w:tmpl w:val="8800D2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A43373C"/>
    <w:multiLevelType w:val="hybridMultilevel"/>
    <w:tmpl w:val="7AD013BE"/>
    <w:lvl w:ilvl="0" w:tplc="CCC4185A">
      <w:start w:val="1"/>
      <w:numFmt w:val="lowerLetter"/>
      <w:lvlText w:val="%1."/>
      <w:lvlJc w:val="left"/>
      <w:pPr>
        <w:ind w:left="174" w:hanging="245"/>
      </w:pPr>
      <w:rPr>
        <w:rFonts w:ascii="Arial MT" w:eastAsia="Arial MT" w:hAnsi="Arial MT" w:cs="Arial MT" w:hint="default"/>
        <w:w w:val="100"/>
        <w:sz w:val="20"/>
        <w:szCs w:val="20"/>
        <w:lang w:val="pt-PT" w:eastAsia="en-US" w:bidi="ar-SA"/>
      </w:rPr>
    </w:lvl>
    <w:lvl w:ilvl="1" w:tplc="95A425D0">
      <w:numFmt w:val="bullet"/>
      <w:lvlText w:val="•"/>
      <w:lvlJc w:val="left"/>
      <w:pPr>
        <w:ind w:left="1132" w:hanging="245"/>
      </w:pPr>
      <w:rPr>
        <w:rFonts w:hint="default"/>
        <w:lang w:val="pt-PT" w:eastAsia="en-US" w:bidi="ar-SA"/>
      </w:rPr>
    </w:lvl>
    <w:lvl w:ilvl="2" w:tplc="FCCCBC44">
      <w:numFmt w:val="bullet"/>
      <w:lvlText w:val="•"/>
      <w:lvlJc w:val="left"/>
      <w:pPr>
        <w:ind w:left="2085" w:hanging="245"/>
      </w:pPr>
      <w:rPr>
        <w:rFonts w:hint="default"/>
        <w:lang w:val="pt-PT" w:eastAsia="en-US" w:bidi="ar-SA"/>
      </w:rPr>
    </w:lvl>
    <w:lvl w:ilvl="3" w:tplc="1AB4B43A">
      <w:numFmt w:val="bullet"/>
      <w:lvlText w:val="•"/>
      <w:lvlJc w:val="left"/>
      <w:pPr>
        <w:ind w:left="3037" w:hanging="245"/>
      </w:pPr>
      <w:rPr>
        <w:rFonts w:hint="default"/>
        <w:lang w:val="pt-PT" w:eastAsia="en-US" w:bidi="ar-SA"/>
      </w:rPr>
    </w:lvl>
    <w:lvl w:ilvl="4" w:tplc="A5AA01EE">
      <w:numFmt w:val="bullet"/>
      <w:lvlText w:val="•"/>
      <w:lvlJc w:val="left"/>
      <w:pPr>
        <w:ind w:left="3990" w:hanging="245"/>
      </w:pPr>
      <w:rPr>
        <w:rFonts w:hint="default"/>
        <w:lang w:val="pt-PT" w:eastAsia="en-US" w:bidi="ar-SA"/>
      </w:rPr>
    </w:lvl>
    <w:lvl w:ilvl="5" w:tplc="8864D8C6">
      <w:numFmt w:val="bullet"/>
      <w:lvlText w:val="•"/>
      <w:lvlJc w:val="left"/>
      <w:pPr>
        <w:ind w:left="4942" w:hanging="245"/>
      </w:pPr>
      <w:rPr>
        <w:rFonts w:hint="default"/>
        <w:lang w:val="pt-PT" w:eastAsia="en-US" w:bidi="ar-SA"/>
      </w:rPr>
    </w:lvl>
    <w:lvl w:ilvl="6" w:tplc="B080BF9A">
      <w:numFmt w:val="bullet"/>
      <w:lvlText w:val="•"/>
      <w:lvlJc w:val="left"/>
      <w:pPr>
        <w:ind w:left="5895" w:hanging="245"/>
      </w:pPr>
      <w:rPr>
        <w:rFonts w:hint="default"/>
        <w:lang w:val="pt-PT" w:eastAsia="en-US" w:bidi="ar-SA"/>
      </w:rPr>
    </w:lvl>
    <w:lvl w:ilvl="7" w:tplc="FAECE2CE">
      <w:numFmt w:val="bullet"/>
      <w:lvlText w:val="•"/>
      <w:lvlJc w:val="left"/>
      <w:pPr>
        <w:ind w:left="6847" w:hanging="245"/>
      </w:pPr>
      <w:rPr>
        <w:rFonts w:hint="default"/>
        <w:lang w:val="pt-PT" w:eastAsia="en-US" w:bidi="ar-SA"/>
      </w:rPr>
    </w:lvl>
    <w:lvl w:ilvl="8" w:tplc="B1C0B432">
      <w:numFmt w:val="bullet"/>
      <w:lvlText w:val="•"/>
      <w:lvlJc w:val="left"/>
      <w:pPr>
        <w:ind w:left="7800" w:hanging="245"/>
      </w:pPr>
      <w:rPr>
        <w:rFonts w:hint="default"/>
        <w:lang w:val="pt-PT" w:eastAsia="en-US" w:bidi="ar-SA"/>
      </w:rPr>
    </w:lvl>
  </w:abstractNum>
  <w:abstractNum w:abstractNumId="23" w15:restartNumberingAfterBreak="0">
    <w:nsid w:val="4ABB21F5"/>
    <w:multiLevelType w:val="hybridMultilevel"/>
    <w:tmpl w:val="C07865C0"/>
    <w:lvl w:ilvl="0" w:tplc="127A31F2">
      <w:start w:val="1"/>
      <w:numFmt w:val="lowerLetter"/>
      <w:lvlText w:val="%1)"/>
      <w:lvlJc w:val="left"/>
      <w:pPr>
        <w:ind w:left="347" w:hanging="234"/>
      </w:pPr>
      <w:rPr>
        <w:rFonts w:ascii="Arial MT" w:eastAsia="Arial MT" w:hAnsi="Arial MT" w:cs="Arial MT" w:hint="default"/>
        <w:b w:val="0"/>
        <w:bCs w:val="0"/>
        <w:i w:val="0"/>
        <w:iCs w:val="0"/>
        <w:spacing w:val="0"/>
        <w:w w:val="100"/>
        <w:sz w:val="20"/>
        <w:szCs w:val="20"/>
        <w:lang w:val="pt-PT" w:eastAsia="en-US" w:bidi="ar-SA"/>
      </w:rPr>
    </w:lvl>
    <w:lvl w:ilvl="1" w:tplc="8E7CAB2C">
      <w:numFmt w:val="bullet"/>
      <w:lvlText w:val="•"/>
      <w:lvlJc w:val="left"/>
      <w:pPr>
        <w:ind w:left="1268" w:hanging="234"/>
      </w:pPr>
      <w:rPr>
        <w:rFonts w:hint="default"/>
        <w:lang w:val="pt-PT" w:eastAsia="en-US" w:bidi="ar-SA"/>
      </w:rPr>
    </w:lvl>
    <w:lvl w:ilvl="2" w:tplc="503C8CEA">
      <w:numFmt w:val="bullet"/>
      <w:lvlText w:val="•"/>
      <w:lvlJc w:val="left"/>
      <w:pPr>
        <w:ind w:left="2197" w:hanging="234"/>
      </w:pPr>
      <w:rPr>
        <w:rFonts w:hint="default"/>
        <w:lang w:val="pt-PT" w:eastAsia="en-US" w:bidi="ar-SA"/>
      </w:rPr>
    </w:lvl>
    <w:lvl w:ilvl="3" w:tplc="655E5142">
      <w:numFmt w:val="bullet"/>
      <w:lvlText w:val="•"/>
      <w:lvlJc w:val="left"/>
      <w:pPr>
        <w:ind w:left="3125" w:hanging="234"/>
      </w:pPr>
      <w:rPr>
        <w:rFonts w:hint="default"/>
        <w:lang w:val="pt-PT" w:eastAsia="en-US" w:bidi="ar-SA"/>
      </w:rPr>
    </w:lvl>
    <w:lvl w:ilvl="4" w:tplc="C4F6B816">
      <w:numFmt w:val="bullet"/>
      <w:lvlText w:val="•"/>
      <w:lvlJc w:val="left"/>
      <w:pPr>
        <w:ind w:left="4054" w:hanging="234"/>
      </w:pPr>
      <w:rPr>
        <w:rFonts w:hint="default"/>
        <w:lang w:val="pt-PT" w:eastAsia="en-US" w:bidi="ar-SA"/>
      </w:rPr>
    </w:lvl>
    <w:lvl w:ilvl="5" w:tplc="CAE68104">
      <w:numFmt w:val="bullet"/>
      <w:lvlText w:val="•"/>
      <w:lvlJc w:val="left"/>
      <w:pPr>
        <w:ind w:left="4982" w:hanging="234"/>
      </w:pPr>
      <w:rPr>
        <w:rFonts w:hint="default"/>
        <w:lang w:val="pt-PT" w:eastAsia="en-US" w:bidi="ar-SA"/>
      </w:rPr>
    </w:lvl>
    <w:lvl w:ilvl="6" w:tplc="0608D312">
      <w:numFmt w:val="bullet"/>
      <w:lvlText w:val="•"/>
      <w:lvlJc w:val="left"/>
      <w:pPr>
        <w:ind w:left="5911" w:hanging="234"/>
      </w:pPr>
      <w:rPr>
        <w:rFonts w:hint="default"/>
        <w:lang w:val="pt-PT" w:eastAsia="en-US" w:bidi="ar-SA"/>
      </w:rPr>
    </w:lvl>
    <w:lvl w:ilvl="7" w:tplc="D78A7F3A">
      <w:numFmt w:val="bullet"/>
      <w:lvlText w:val="•"/>
      <w:lvlJc w:val="left"/>
      <w:pPr>
        <w:ind w:left="6839" w:hanging="234"/>
      </w:pPr>
      <w:rPr>
        <w:rFonts w:hint="default"/>
        <w:lang w:val="pt-PT" w:eastAsia="en-US" w:bidi="ar-SA"/>
      </w:rPr>
    </w:lvl>
    <w:lvl w:ilvl="8" w:tplc="42D436E4">
      <w:numFmt w:val="bullet"/>
      <w:lvlText w:val="•"/>
      <w:lvlJc w:val="left"/>
      <w:pPr>
        <w:ind w:left="7768" w:hanging="234"/>
      </w:pPr>
      <w:rPr>
        <w:rFonts w:hint="default"/>
        <w:lang w:val="pt-PT" w:eastAsia="en-US" w:bidi="ar-SA"/>
      </w:rPr>
    </w:lvl>
  </w:abstractNum>
  <w:abstractNum w:abstractNumId="24" w15:restartNumberingAfterBreak="0">
    <w:nsid w:val="4E892ECE"/>
    <w:multiLevelType w:val="multilevel"/>
    <w:tmpl w:val="B83EAE58"/>
    <w:lvl w:ilvl="0">
      <w:start w:val="8"/>
      <w:numFmt w:val="decimal"/>
      <w:lvlText w:val="%1"/>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start w:val="23"/>
      <w:numFmt w:val="decimal"/>
      <w:lvlText w:val="%1.%2"/>
      <w:lvlJc w:val="left"/>
      <w:pPr>
        <w:ind w:left="36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start w:val="1"/>
      <w:numFmt w:val="decimal"/>
      <w:lvlRestart w:val="0"/>
      <w:lvlText w:val="%1.%2.%3."/>
      <w:lvlJc w:val="left"/>
      <w:pPr>
        <w:ind w:left="139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09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181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253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25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397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469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5" w15:restartNumberingAfterBreak="0">
    <w:nsid w:val="504353F7"/>
    <w:multiLevelType w:val="multilevel"/>
    <w:tmpl w:val="CBC609CC"/>
    <w:lvl w:ilvl="0">
      <w:start w:val="19"/>
      <w:numFmt w:val="decimal"/>
      <w:lvlText w:val="%1."/>
      <w:lvlJc w:val="left"/>
      <w:pPr>
        <w:ind w:left="507" w:hanging="334"/>
      </w:pPr>
      <w:rPr>
        <w:rFonts w:ascii="Arial" w:eastAsia="Arial" w:hAnsi="Arial" w:cs="Arial" w:hint="default"/>
        <w:b/>
        <w:bCs/>
        <w:w w:val="100"/>
        <w:sz w:val="20"/>
        <w:szCs w:val="20"/>
        <w:lang w:val="pt-PT" w:eastAsia="en-US" w:bidi="ar-SA"/>
      </w:rPr>
    </w:lvl>
    <w:lvl w:ilvl="1">
      <w:start w:val="1"/>
      <w:numFmt w:val="decimal"/>
      <w:lvlText w:val="%1.%2"/>
      <w:lvlJc w:val="left"/>
      <w:pPr>
        <w:ind w:left="174" w:hanging="470"/>
      </w:pPr>
      <w:rPr>
        <w:rFonts w:ascii="Arial MT" w:eastAsia="Arial MT" w:hAnsi="Arial MT" w:cs="Arial MT" w:hint="default"/>
        <w:w w:val="100"/>
        <w:sz w:val="20"/>
        <w:szCs w:val="20"/>
        <w:lang w:val="pt-PT" w:eastAsia="en-US" w:bidi="ar-SA"/>
      </w:rPr>
    </w:lvl>
    <w:lvl w:ilvl="2">
      <w:numFmt w:val="bullet"/>
      <w:lvlText w:val="•"/>
      <w:lvlJc w:val="left"/>
      <w:pPr>
        <w:ind w:left="1522" w:hanging="470"/>
      </w:pPr>
      <w:rPr>
        <w:rFonts w:hint="default"/>
        <w:lang w:val="pt-PT" w:eastAsia="en-US" w:bidi="ar-SA"/>
      </w:rPr>
    </w:lvl>
    <w:lvl w:ilvl="3">
      <w:numFmt w:val="bullet"/>
      <w:lvlText w:val="•"/>
      <w:lvlJc w:val="left"/>
      <w:pPr>
        <w:ind w:left="2545" w:hanging="470"/>
      </w:pPr>
      <w:rPr>
        <w:rFonts w:hint="default"/>
        <w:lang w:val="pt-PT" w:eastAsia="en-US" w:bidi="ar-SA"/>
      </w:rPr>
    </w:lvl>
    <w:lvl w:ilvl="4">
      <w:numFmt w:val="bullet"/>
      <w:lvlText w:val="•"/>
      <w:lvlJc w:val="left"/>
      <w:pPr>
        <w:ind w:left="3568" w:hanging="470"/>
      </w:pPr>
      <w:rPr>
        <w:rFonts w:hint="default"/>
        <w:lang w:val="pt-PT" w:eastAsia="en-US" w:bidi="ar-SA"/>
      </w:rPr>
    </w:lvl>
    <w:lvl w:ilvl="5">
      <w:numFmt w:val="bullet"/>
      <w:lvlText w:val="•"/>
      <w:lvlJc w:val="left"/>
      <w:pPr>
        <w:ind w:left="4591" w:hanging="470"/>
      </w:pPr>
      <w:rPr>
        <w:rFonts w:hint="default"/>
        <w:lang w:val="pt-PT" w:eastAsia="en-US" w:bidi="ar-SA"/>
      </w:rPr>
    </w:lvl>
    <w:lvl w:ilvl="6">
      <w:numFmt w:val="bullet"/>
      <w:lvlText w:val="•"/>
      <w:lvlJc w:val="left"/>
      <w:pPr>
        <w:ind w:left="5614" w:hanging="470"/>
      </w:pPr>
      <w:rPr>
        <w:rFonts w:hint="default"/>
        <w:lang w:val="pt-PT" w:eastAsia="en-US" w:bidi="ar-SA"/>
      </w:rPr>
    </w:lvl>
    <w:lvl w:ilvl="7">
      <w:numFmt w:val="bullet"/>
      <w:lvlText w:val="•"/>
      <w:lvlJc w:val="left"/>
      <w:pPr>
        <w:ind w:left="6637" w:hanging="470"/>
      </w:pPr>
      <w:rPr>
        <w:rFonts w:hint="default"/>
        <w:lang w:val="pt-PT" w:eastAsia="en-US" w:bidi="ar-SA"/>
      </w:rPr>
    </w:lvl>
    <w:lvl w:ilvl="8">
      <w:numFmt w:val="bullet"/>
      <w:lvlText w:val="•"/>
      <w:lvlJc w:val="left"/>
      <w:pPr>
        <w:ind w:left="7659" w:hanging="470"/>
      </w:pPr>
      <w:rPr>
        <w:rFonts w:hint="default"/>
        <w:lang w:val="pt-PT" w:eastAsia="en-US" w:bidi="ar-SA"/>
      </w:rPr>
    </w:lvl>
  </w:abstractNum>
  <w:abstractNum w:abstractNumId="26" w15:restartNumberingAfterBreak="0">
    <w:nsid w:val="552E05A6"/>
    <w:multiLevelType w:val="hybridMultilevel"/>
    <w:tmpl w:val="A5DA31B0"/>
    <w:lvl w:ilvl="0" w:tplc="86EEC0A0">
      <w:start w:val="1"/>
      <w:numFmt w:val="decimal"/>
      <w:lvlText w:val="%1."/>
      <w:lvlJc w:val="left"/>
      <w:pPr>
        <w:ind w:left="200"/>
      </w:pPr>
      <w:rPr>
        <w:rFonts w:ascii="Calibri" w:eastAsia="Calibri" w:hAnsi="Calibri" w:cs="Calibri"/>
        <w:b/>
        <w:bCs/>
        <w:i w:val="0"/>
        <w:strike w:val="0"/>
        <w:dstrike w:val="0"/>
        <w:color w:val="000000"/>
        <w:sz w:val="18"/>
        <w:szCs w:val="18"/>
        <w:u w:val="none" w:color="000000"/>
        <w:bdr w:val="none" w:sz="0" w:space="0" w:color="auto"/>
        <w:shd w:val="clear" w:color="auto" w:fill="auto"/>
        <w:vertAlign w:val="baseline"/>
      </w:rPr>
    </w:lvl>
    <w:lvl w:ilvl="1" w:tplc="479ED278">
      <w:start w:val="1"/>
      <w:numFmt w:val="lowerLetter"/>
      <w:lvlText w:val="%2"/>
      <w:lvlJc w:val="left"/>
      <w:pPr>
        <w:ind w:left="1080"/>
      </w:pPr>
      <w:rPr>
        <w:rFonts w:ascii="Calibri" w:eastAsia="Calibri" w:hAnsi="Calibri" w:cs="Calibri"/>
        <w:b/>
        <w:bCs/>
        <w:i w:val="0"/>
        <w:strike w:val="0"/>
        <w:dstrike w:val="0"/>
        <w:color w:val="000000"/>
        <w:sz w:val="18"/>
        <w:szCs w:val="18"/>
        <w:u w:val="none" w:color="000000"/>
        <w:bdr w:val="none" w:sz="0" w:space="0" w:color="auto"/>
        <w:shd w:val="clear" w:color="auto" w:fill="auto"/>
        <w:vertAlign w:val="baseline"/>
      </w:rPr>
    </w:lvl>
    <w:lvl w:ilvl="2" w:tplc="EA8C9D56">
      <w:start w:val="1"/>
      <w:numFmt w:val="lowerRoman"/>
      <w:lvlText w:val="%3"/>
      <w:lvlJc w:val="left"/>
      <w:pPr>
        <w:ind w:left="1800"/>
      </w:pPr>
      <w:rPr>
        <w:rFonts w:ascii="Calibri" w:eastAsia="Calibri" w:hAnsi="Calibri" w:cs="Calibri"/>
        <w:b/>
        <w:bCs/>
        <w:i w:val="0"/>
        <w:strike w:val="0"/>
        <w:dstrike w:val="0"/>
        <w:color w:val="000000"/>
        <w:sz w:val="18"/>
        <w:szCs w:val="18"/>
        <w:u w:val="none" w:color="000000"/>
        <w:bdr w:val="none" w:sz="0" w:space="0" w:color="auto"/>
        <w:shd w:val="clear" w:color="auto" w:fill="auto"/>
        <w:vertAlign w:val="baseline"/>
      </w:rPr>
    </w:lvl>
    <w:lvl w:ilvl="3" w:tplc="915E6982">
      <w:start w:val="1"/>
      <w:numFmt w:val="decimal"/>
      <w:lvlText w:val="%4"/>
      <w:lvlJc w:val="left"/>
      <w:pPr>
        <w:ind w:left="2520"/>
      </w:pPr>
      <w:rPr>
        <w:rFonts w:ascii="Calibri" w:eastAsia="Calibri" w:hAnsi="Calibri" w:cs="Calibri"/>
        <w:b/>
        <w:bCs/>
        <w:i w:val="0"/>
        <w:strike w:val="0"/>
        <w:dstrike w:val="0"/>
        <w:color w:val="000000"/>
        <w:sz w:val="18"/>
        <w:szCs w:val="18"/>
        <w:u w:val="none" w:color="000000"/>
        <w:bdr w:val="none" w:sz="0" w:space="0" w:color="auto"/>
        <w:shd w:val="clear" w:color="auto" w:fill="auto"/>
        <w:vertAlign w:val="baseline"/>
      </w:rPr>
    </w:lvl>
    <w:lvl w:ilvl="4" w:tplc="2098D61E">
      <w:start w:val="1"/>
      <w:numFmt w:val="lowerLetter"/>
      <w:lvlText w:val="%5"/>
      <w:lvlJc w:val="left"/>
      <w:pPr>
        <w:ind w:left="3240"/>
      </w:pPr>
      <w:rPr>
        <w:rFonts w:ascii="Calibri" w:eastAsia="Calibri" w:hAnsi="Calibri" w:cs="Calibri"/>
        <w:b/>
        <w:bCs/>
        <w:i w:val="0"/>
        <w:strike w:val="0"/>
        <w:dstrike w:val="0"/>
        <w:color w:val="000000"/>
        <w:sz w:val="18"/>
        <w:szCs w:val="18"/>
        <w:u w:val="none" w:color="000000"/>
        <w:bdr w:val="none" w:sz="0" w:space="0" w:color="auto"/>
        <w:shd w:val="clear" w:color="auto" w:fill="auto"/>
        <w:vertAlign w:val="baseline"/>
      </w:rPr>
    </w:lvl>
    <w:lvl w:ilvl="5" w:tplc="FB0E131C">
      <w:start w:val="1"/>
      <w:numFmt w:val="lowerRoman"/>
      <w:lvlText w:val="%6"/>
      <w:lvlJc w:val="left"/>
      <w:pPr>
        <w:ind w:left="3960"/>
      </w:pPr>
      <w:rPr>
        <w:rFonts w:ascii="Calibri" w:eastAsia="Calibri" w:hAnsi="Calibri" w:cs="Calibri"/>
        <w:b/>
        <w:bCs/>
        <w:i w:val="0"/>
        <w:strike w:val="0"/>
        <w:dstrike w:val="0"/>
        <w:color w:val="000000"/>
        <w:sz w:val="18"/>
        <w:szCs w:val="18"/>
        <w:u w:val="none" w:color="000000"/>
        <w:bdr w:val="none" w:sz="0" w:space="0" w:color="auto"/>
        <w:shd w:val="clear" w:color="auto" w:fill="auto"/>
        <w:vertAlign w:val="baseline"/>
      </w:rPr>
    </w:lvl>
    <w:lvl w:ilvl="6" w:tplc="79D2DBA4">
      <w:start w:val="1"/>
      <w:numFmt w:val="decimal"/>
      <w:lvlText w:val="%7"/>
      <w:lvlJc w:val="left"/>
      <w:pPr>
        <w:ind w:left="4680"/>
      </w:pPr>
      <w:rPr>
        <w:rFonts w:ascii="Calibri" w:eastAsia="Calibri" w:hAnsi="Calibri" w:cs="Calibri"/>
        <w:b/>
        <w:bCs/>
        <w:i w:val="0"/>
        <w:strike w:val="0"/>
        <w:dstrike w:val="0"/>
        <w:color w:val="000000"/>
        <w:sz w:val="18"/>
        <w:szCs w:val="18"/>
        <w:u w:val="none" w:color="000000"/>
        <w:bdr w:val="none" w:sz="0" w:space="0" w:color="auto"/>
        <w:shd w:val="clear" w:color="auto" w:fill="auto"/>
        <w:vertAlign w:val="baseline"/>
      </w:rPr>
    </w:lvl>
    <w:lvl w:ilvl="7" w:tplc="AB4CEF68">
      <w:start w:val="1"/>
      <w:numFmt w:val="lowerLetter"/>
      <w:lvlText w:val="%8"/>
      <w:lvlJc w:val="left"/>
      <w:pPr>
        <w:ind w:left="5400"/>
      </w:pPr>
      <w:rPr>
        <w:rFonts w:ascii="Calibri" w:eastAsia="Calibri" w:hAnsi="Calibri" w:cs="Calibri"/>
        <w:b/>
        <w:bCs/>
        <w:i w:val="0"/>
        <w:strike w:val="0"/>
        <w:dstrike w:val="0"/>
        <w:color w:val="000000"/>
        <w:sz w:val="18"/>
        <w:szCs w:val="18"/>
        <w:u w:val="none" w:color="000000"/>
        <w:bdr w:val="none" w:sz="0" w:space="0" w:color="auto"/>
        <w:shd w:val="clear" w:color="auto" w:fill="auto"/>
        <w:vertAlign w:val="baseline"/>
      </w:rPr>
    </w:lvl>
    <w:lvl w:ilvl="8" w:tplc="FD682B46">
      <w:start w:val="1"/>
      <w:numFmt w:val="lowerRoman"/>
      <w:lvlText w:val="%9"/>
      <w:lvlJc w:val="left"/>
      <w:pPr>
        <w:ind w:left="6120"/>
      </w:pPr>
      <w:rPr>
        <w:rFonts w:ascii="Calibri" w:eastAsia="Calibri" w:hAnsi="Calibri" w:cs="Calibri"/>
        <w:b/>
        <w:bCs/>
        <w:i w:val="0"/>
        <w:strike w:val="0"/>
        <w:dstrike w:val="0"/>
        <w:color w:val="000000"/>
        <w:sz w:val="18"/>
        <w:szCs w:val="18"/>
        <w:u w:val="none" w:color="000000"/>
        <w:bdr w:val="none" w:sz="0" w:space="0" w:color="auto"/>
        <w:shd w:val="clear" w:color="auto" w:fill="auto"/>
        <w:vertAlign w:val="baseline"/>
      </w:rPr>
    </w:lvl>
  </w:abstractNum>
  <w:abstractNum w:abstractNumId="27" w15:restartNumberingAfterBreak="0">
    <w:nsid w:val="57DF5D7C"/>
    <w:multiLevelType w:val="multilevel"/>
    <w:tmpl w:val="5F0E11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D165831"/>
    <w:multiLevelType w:val="multilevel"/>
    <w:tmpl w:val="140C67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D945161"/>
    <w:multiLevelType w:val="multilevel"/>
    <w:tmpl w:val="3E580B8E"/>
    <w:lvl w:ilvl="0">
      <w:start w:val="8"/>
      <w:numFmt w:val="decimal"/>
      <w:lvlText w:val="%1"/>
      <w:lvlJc w:val="left"/>
      <w:pPr>
        <w:ind w:left="174" w:hanging="359"/>
      </w:pPr>
      <w:rPr>
        <w:rFonts w:hint="default"/>
        <w:lang w:val="pt-PT" w:eastAsia="en-US" w:bidi="ar-SA"/>
      </w:rPr>
    </w:lvl>
    <w:lvl w:ilvl="1">
      <w:start w:val="1"/>
      <w:numFmt w:val="decimal"/>
      <w:lvlText w:val="%1.%2"/>
      <w:lvlJc w:val="left"/>
      <w:pPr>
        <w:ind w:left="174" w:hanging="359"/>
      </w:pPr>
      <w:rPr>
        <w:rFonts w:ascii="Arial MT" w:eastAsia="Arial MT" w:hAnsi="Arial MT" w:cs="Arial MT" w:hint="default"/>
        <w:spacing w:val="0"/>
        <w:w w:val="100"/>
        <w:sz w:val="20"/>
        <w:szCs w:val="20"/>
        <w:lang w:val="pt-PT" w:eastAsia="en-US" w:bidi="ar-SA"/>
      </w:rPr>
    </w:lvl>
    <w:lvl w:ilvl="2">
      <w:start w:val="1"/>
      <w:numFmt w:val="decimal"/>
      <w:lvlText w:val="%1.%2.%3"/>
      <w:lvlJc w:val="left"/>
      <w:pPr>
        <w:ind w:left="174" w:hanging="531"/>
      </w:pPr>
      <w:rPr>
        <w:rFonts w:ascii="Arial MT" w:eastAsia="Arial MT" w:hAnsi="Arial MT" w:cs="Arial MT" w:hint="default"/>
        <w:spacing w:val="0"/>
        <w:w w:val="100"/>
        <w:sz w:val="20"/>
        <w:szCs w:val="20"/>
        <w:lang w:val="pt-PT" w:eastAsia="en-US" w:bidi="ar-SA"/>
      </w:rPr>
    </w:lvl>
    <w:lvl w:ilvl="3">
      <w:numFmt w:val="bullet"/>
      <w:lvlText w:val="•"/>
      <w:lvlJc w:val="left"/>
      <w:pPr>
        <w:ind w:left="3037" w:hanging="531"/>
      </w:pPr>
      <w:rPr>
        <w:rFonts w:hint="default"/>
        <w:lang w:val="pt-PT" w:eastAsia="en-US" w:bidi="ar-SA"/>
      </w:rPr>
    </w:lvl>
    <w:lvl w:ilvl="4">
      <w:numFmt w:val="bullet"/>
      <w:lvlText w:val="•"/>
      <w:lvlJc w:val="left"/>
      <w:pPr>
        <w:ind w:left="3990" w:hanging="531"/>
      </w:pPr>
      <w:rPr>
        <w:rFonts w:hint="default"/>
        <w:lang w:val="pt-PT" w:eastAsia="en-US" w:bidi="ar-SA"/>
      </w:rPr>
    </w:lvl>
    <w:lvl w:ilvl="5">
      <w:numFmt w:val="bullet"/>
      <w:lvlText w:val="•"/>
      <w:lvlJc w:val="left"/>
      <w:pPr>
        <w:ind w:left="4942" w:hanging="531"/>
      </w:pPr>
      <w:rPr>
        <w:rFonts w:hint="default"/>
        <w:lang w:val="pt-PT" w:eastAsia="en-US" w:bidi="ar-SA"/>
      </w:rPr>
    </w:lvl>
    <w:lvl w:ilvl="6">
      <w:numFmt w:val="bullet"/>
      <w:lvlText w:val="•"/>
      <w:lvlJc w:val="left"/>
      <w:pPr>
        <w:ind w:left="5895" w:hanging="531"/>
      </w:pPr>
      <w:rPr>
        <w:rFonts w:hint="default"/>
        <w:lang w:val="pt-PT" w:eastAsia="en-US" w:bidi="ar-SA"/>
      </w:rPr>
    </w:lvl>
    <w:lvl w:ilvl="7">
      <w:numFmt w:val="bullet"/>
      <w:lvlText w:val="•"/>
      <w:lvlJc w:val="left"/>
      <w:pPr>
        <w:ind w:left="6847" w:hanging="531"/>
      </w:pPr>
      <w:rPr>
        <w:rFonts w:hint="default"/>
        <w:lang w:val="pt-PT" w:eastAsia="en-US" w:bidi="ar-SA"/>
      </w:rPr>
    </w:lvl>
    <w:lvl w:ilvl="8">
      <w:numFmt w:val="bullet"/>
      <w:lvlText w:val="•"/>
      <w:lvlJc w:val="left"/>
      <w:pPr>
        <w:ind w:left="7800" w:hanging="531"/>
      </w:pPr>
      <w:rPr>
        <w:rFonts w:hint="default"/>
        <w:lang w:val="pt-PT" w:eastAsia="en-US" w:bidi="ar-SA"/>
      </w:rPr>
    </w:lvl>
  </w:abstractNum>
  <w:abstractNum w:abstractNumId="30" w15:restartNumberingAfterBreak="0">
    <w:nsid w:val="67532593"/>
    <w:multiLevelType w:val="multilevel"/>
    <w:tmpl w:val="8F7CF238"/>
    <w:lvl w:ilvl="0">
      <w:start w:val="15"/>
      <w:numFmt w:val="decimal"/>
      <w:lvlText w:val="%1"/>
      <w:lvlJc w:val="left"/>
      <w:pPr>
        <w:ind w:left="619" w:hanging="446"/>
      </w:pPr>
      <w:rPr>
        <w:rFonts w:hint="default"/>
        <w:lang w:val="pt-PT" w:eastAsia="en-US" w:bidi="ar-SA"/>
      </w:rPr>
    </w:lvl>
    <w:lvl w:ilvl="1">
      <w:start w:val="4"/>
      <w:numFmt w:val="decimal"/>
      <w:lvlText w:val="%1.%2"/>
      <w:lvlJc w:val="left"/>
      <w:pPr>
        <w:ind w:left="619" w:hanging="446"/>
      </w:pPr>
      <w:rPr>
        <w:rFonts w:ascii="Arial" w:eastAsia="Arial" w:hAnsi="Arial" w:cs="Arial" w:hint="default"/>
        <w:b/>
        <w:bCs/>
        <w:w w:val="100"/>
        <w:sz w:val="20"/>
        <w:szCs w:val="20"/>
        <w:lang w:val="pt-PT" w:eastAsia="en-US" w:bidi="ar-SA"/>
      </w:rPr>
    </w:lvl>
    <w:lvl w:ilvl="2">
      <w:start w:val="1"/>
      <w:numFmt w:val="decimal"/>
      <w:lvlText w:val="%1.%2.%3"/>
      <w:lvlJc w:val="left"/>
      <w:pPr>
        <w:ind w:left="174" w:hanging="621"/>
      </w:pPr>
      <w:rPr>
        <w:rFonts w:ascii="Arial MT" w:eastAsia="Arial MT" w:hAnsi="Arial MT" w:cs="Arial MT" w:hint="default"/>
        <w:w w:val="100"/>
        <w:sz w:val="20"/>
        <w:szCs w:val="20"/>
        <w:lang w:val="pt-PT" w:eastAsia="en-US" w:bidi="ar-SA"/>
      </w:rPr>
    </w:lvl>
    <w:lvl w:ilvl="3">
      <w:numFmt w:val="bullet"/>
      <w:lvlText w:val="•"/>
      <w:lvlJc w:val="left"/>
      <w:pPr>
        <w:ind w:left="2639" w:hanging="621"/>
      </w:pPr>
      <w:rPr>
        <w:rFonts w:hint="default"/>
        <w:lang w:val="pt-PT" w:eastAsia="en-US" w:bidi="ar-SA"/>
      </w:rPr>
    </w:lvl>
    <w:lvl w:ilvl="4">
      <w:numFmt w:val="bullet"/>
      <w:lvlText w:val="•"/>
      <w:lvlJc w:val="left"/>
      <w:pPr>
        <w:ind w:left="3648" w:hanging="621"/>
      </w:pPr>
      <w:rPr>
        <w:rFonts w:hint="default"/>
        <w:lang w:val="pt-PT" w:eastAsia="en-US" w:bidi="ar-SA"/>
      </w:rPr>
    </w:lvl>
    <w:lvl w:ilvl="5">
      <w:numFmt w:val="bullet"/>
      <w:lvlText w:val="•"/>
      <w:lvlJc w:val="left"/>
      <w:pPr>
        <w:ind w:left="4658" w:hanging="621"/>
      </w:pPr>
      <w:rPr>
        <w:rFonts w:hint="default"/>
        <w:lang w:val="pt-PT" w:eastAsia="en-US" w:bidi="ar-SA"/>
      </w:rPr>
    </w:lvl>
    <w:lvl w:ilvl="6">
      <w:numFmt w:val="bullet"/>
      <w:lvlText w:val="•"/>
      <w:lvlJc w:val="left"/>
      <w:pPr>
        <w:ind w:left="5667" w:hanging="621"/>
      </w:pPr>
      <w:rPr>
        <w:rFonts w:hint="default"/>
        <w:lang w:val="pt-PT" w:eastAsia="en-US" w:bidi="ar-SA"/>
      </w:rPr>
    </w:lvl>
    <w:lvl w:ilvl="7">
      <w:numFmt w:val="bullet"/>
      <w:lvlText w:val="•"/>
      <w:lvlJc w:val="left"/>
      <w:pPr>
        <w:ind w:left="6677" w:hanging="621"/>
      </w:pPr>
      <w:rPr>
        <w:rFonts w:hint="default"/>
        <w:lang w:val="pt-PT" w:eastAsia="en-US" w:bidi="ar-SA"/>
      </w:rPr>
    </w:lvl>
    <w:lvl w:ilvl="8">
      <w:numFmt w:val="bullet"/>
      <w:lvlText w:val="•"/>
      <w:lvlJc w:val="left"/>
      <w:pPr>
        <w:ind w:left="7686" w:hanging="621"/>
      </w:pPr>
      <w:rPr>
        <w:rFonts w:hint="default"/>
        <w:lang w:val="pt-PT" w:eastAsia="en-US" w:bidi="ar-SA"/>
      </w:rPr>
    </w:lvl>
  </w:abstractNum>
  <w:abstractNum w:abstractNumId="31" w15:restartNumberingAfterBreak="0">
    <w:nsid w:val="6A516AF7"/>
    <w:multiLevelType w:val="multilevel"/>
    <w:tmpl w:val="FD041024"/>
    <w:lvl w:ilvl="0">
      <w:start w:val="20"/>
      <w:numFmt w:val="decimal"/>
      <w:lvlText w:val="%1"/>
      <w:lvlJc w:val="left"/>
      <w:pPr>
        <w:ind w:left="174" w:hanging="698"/>
      </w:pPr>
      <w:rPr>
        <w:rFonts w:hint="default"/>
        <w:lang w:val="pt-PT" w:eastAsia="en-US" w:bidi="ar-SA"/>
      </w:rPr>
    </w:lvl>
    <w:lvl w:ilvl="1">
      <w:start w:val="1"/>
      <w:numFmt w:val="decimal"/>
      <w:lvlText w:val="%1.%2"/>
      <w:lvlJc w:val="left"/>
      <w:pPr>
        <w:ind w:left="174" w:hanging="698"/>
      </w:pPr>
      <w:rPr>
        <w:rFonts w:hint="default"/>
        <w:lang w:val="pt-PT" w:eastAsia="en-US" w:bidi="ar-SA"/>
      </w:rPr>
    </w:lvl>
    <w:lvl w:ilvl="2">
      <w:start w:val="2"/>
      <w:numFmt w:val="decimal"/>
      <w:lvlText w:val="%1.%2.%3"/>
      <w:lvlJc w:val="left"/>
      <w:pPr>
        <w:ind w:left="174" w:hanging="698"/>
      </w:pPr>
      <w:rPr>
        <w:rFonts w:ascii="Arial MT" w:eastAsia="Arial MT" w:hAnsi="Arial MT" w:cs="Arial MT" w:hint="default"/>
        <w:w w:val="100"/>
        <w:sz w:val="20"/>
        <w:szCs w:val="20"/>
        <w:lang w:val="pt-PT" w:eastAsia="en-US" w:bidi="ar-SA"/>
      </w:rPr>
    </w:lvl>
    <w:lvl w:ilvl="3">
      <w:numFmt w:val="bullet"/>
      <w:lvlText w:val="•"/>
      <w:lvlJc w:val="left"/>
      <w:pPr>
        <w:ind w:left="3037" w:hanging="698"/>
      </w:pPr>
      <w:rPr>
        <w:rFonts w:hint="default"/>
        <w:lang w:val="pt-PT" w:eastAsia="en-US" w:bidi="ar-SA"/>
      </w:rPr>
    </w:lvl>
    <w:lvl w:ilvl="4">
      <w:numFmt w:val="bullet"/>
      <w:lvlText w:val="•"/>
      <w:lvlJc w:val="left"/>
      <w:pPr>
        <w:ind w:left="3990" w:hanging="698"/>
      </w:pPr>
      <w:rPr>
        <w:rFonts w:hint="default"/>
        <w:lang w:val="pt-PT" w:eastAsia="en-US" w:bidi="ar-SA"/>
      </w:rPr>
    </w:lvl>
    <w:lvl w:ilvl="5">
      <w:numFmt w:val="bullet"/>
      <w:lvlText w:val="•"/>
      <w:lvlJc w:val="left"/>
      <w:pPr>
        <w:ind w:left="4942" w:hanging="698"/>
      </w:pPr>
      <w:rPr>
        <w:rFonts w:hint="default"/>
        <w:lang w:val="pt-PT" w:eastAsia="en-US" w:bidi="ar-SA"/>
      </w:rPr>
    </w:lvl>
    <w:lvl w:ilvl="6">
      <w:numFmt w:val="bullet"/>
      <w:lvlText w:val="•"/>
      <w:lvlJc w:val="left"/>
      <w:pPr>
        <w:ind w:left="5895" w:hanging="698"/>
      </w:pPr>
      <w:rPr>
        <w:rFonts w:hint="default"/>
        <w:lang w:val="pt-PT" w:eastAsia="en-US" w:bidi="ar-SA"/>
      </w:rPr>
    </w:lvl>
    <w:lvl w:ilvl="7">
      <w:numFmt w:val="bullet"/>
      <w:lvlText w:val="•"/>
      <w:lvlJc w:val="left"/>
      <w:pPr>
        <w:ind w:left="6847" w:hanging="698"/>
      </w:pPr>
      <w:rPr>
        <w:rFonts w:hint="default"/>
        <w:lang w:val="pt-PT" w:eastAsia="en-US" w:bidi="ar-SA"/>
      </w:rPr>
    </w:lvl>
    <w:lvl w:ilvl="8">
      <w:numFmt w:val="bullet"/>
      <w:lvlText w:val="•"/>
      <w:lvlJc w:val="left"/>
      <w:pPr>
        <w:ind w:left="7800" w:hanging="698"/>
      </w:pPr>
      <w:rPr>
        <w:rFonts w:hint="default"/>
        <w:lang w:val="pt-PT" w:eastAsia="en-US" w:bidi="ar-SA"/>
      </w:rPr>
    </w:lvl>
  </w:abstractNum>
  <w:abstractNum w:abstractNumId="32" w15:restartNumberingAfterBreak="0">
    <w:nsid w:val="6EFC086A"/>
    <w:multiLevelType w:val="multilevel"/>
    <w:tmpl w:val="B68A64C4"/>
    <w:lvl w:ilvl="0">
      <w:start w:val="15"/>
      <w:numFmt w:val="decimal"/>
      <w:lvlText w:val="%1"/>
      <w:lvlJc w:val="left"/>
      <w:pPr>
        <w:ind w:left="841" w:hanging="668"/>
      </w:pPr>
      <w:rPr>
        <w:rFonts w:hint="default"/>
        <w:lang w:val="pt-PT" w:eastAsia="en-US" w:bidi="ar-SA"/>
      </w:rPr>
    </w:lvl>
    <w:lvl w:ilvl="1">
      <w:start w:val="3"/>
      <w:numFmt w:val="decimal"/>
      <w:lvlText w:val="%1.%2"/>
      <w:lvlJc w:val="left"/>
      <w:pPr>
        <w:ind w:left="841" w:hanging="668"/>
      </w:pPr>
      <w:rPr>
        <w:rFonts w:hint="default"/>
        <w:lang w:val="pt-PT" w:eastAsia="en-US" w:bidi="ar-SA"/>
      </w:rPr>
    </w:lvl>
    <w:lvl w:ilvl="2">
      <w:start w:val="5"/>
      <w:numFmt w:val="decimal"/>
      <w:lvlText w:val="%1.%2.%3."/>
      <w:lvlJc w:val="left"/>
      <w:pPr>
        <w:ind w:left="841" w:hanging="668"/>
      </w:pPr>
      <w:rPr>
        <w:rFonts w:ascii="Arial MT" w:eastAsia="Arial MT" w:hAnsi="Arial MT" w:cs="Arial MT" w:hint="default"/>
        <w:w w:val="100"/>
        <w:sz w:val="20"/>
        <w:szCs w:val="20"/>
        <w:lang w:val="pt-PT" w:eastAsia="en-US" w:bidi="ar-SA"/>
      </w:rPr>
    </w:lvl>
    <w:lvl w:ilvl="3">
      <w:numFmt w:val="bullet"/>
      <w:lvlText w:val="•"/>
      <w:lvlJc w:val="left"/>
      <w:pPr>
        <w:ind w:left="3499" w:hanging="668"/>
      </w:pPr>
      <w:rPr>
        <w:rFonts w:hint="default"/>
        <w:lang w:val="pt-PT" w:eastAsia="en-US" w:bidi="ar-SA"/>
      </w:rPr>
    </w:lvl>
    <w:lvl w:ilvl="4">
      <w:numFmt w:val="bullet"/>
      <w:lvlText w:val="•"/>
      <w:lvlJc w:val="left"/>
      <w:pPr>
        <w:ind w:left="4386" w:hanging="668"/>
      </w:pPr>
      <w:rPr>
        <w:rFonts w:hint="default"/>
        <w:lang w:val="pt-PT" w:eastAsia="en-US" w:bidi="ar-SA"/>
      </w:rPr>
    </w:lvl>
    <w:lvl w:ilvl="5">
      <w:numFmt w:val="bullet"/>
      <w:lvlText w:val="•"/>
      <w:lvlJc w:val="left"/>
      <w:pPr>
        <w:ind w:left="5272" w:hanging="668"/>
      </w:pPr>
      <w:rPr>
        <w:rFonts w:hint="default"/>
        <w:lang w:val="pt-PT" w:eastAsia="en-US" w:bidi="ar-SA"/>
      </w:rPr>
    </w:lvl>
    <w:lvl w:ilvl="6">
      <w:numFmt w:val="bullet"/>
      <w:lvlText w:val="•"/>
      <w:lvlJc w:val="left"/>
      <w:pPr>
        <w:ind w:left="6159" w:hanging="668"/>
      </w:pPr>
      <w:rPr>
        <w:rFonts w:hint="default"/>
        <w:lang w:val="pt-PT" w:eastAsia="en-US" w:bidi="ar-SA"/>
      </w:rPr>
    </w:lvl>
    <w:lvl w:ilvl="7">
      <w:numFmt w:val="bullet"/>
      <w:lvlText w:val="•"/>
      <w:lvlJc w:val="left"/>
      <w:pPr>
        <w:ind w:left="7045" w:hanging="668"/>
      </w:pPr>
      <w:rPr>
        <w:rFonts w:hint="default"/>
        <w:lang w:val="pt-PT" w:eastAsia="en-US" w:bidi="ar-SA"/>
      </w:rPr>
    </w:lvl>
    <w:lvl w:ilvl="8">
      <w:numFmt w:val="bullet"/>
      <w:lvlText w:val="•"/>
      <w:lvlJc w:val="left"/>
      <w:pPr>
        <w:ind w:left="7932" w:hanging="668"/>
      </w:pPr>
      <w:rPr>
        <w:rFonts w:hint="default"/>
        <w:lang w:val="pt-PT" w:eastAsia="en-US" w:bidi="ar-SA"/>
      </w:rPr>
    </w:lvl>
  </w:abstractNum>
  <w:abstractNum w:abstractNumId="33" w15:restartNumberingAfterBreak="0">
    <w:nsid w:val="701A52CF"/>
    <w:multiLevelType w:val="multilevel"/>
    <w:tmpl w:val="38C44A7E"/>
    <w:lvl w:ilvl="0">
      <w:start w:val="8"/>
      <w:numFmt w:val="decimal"/>
      <w:lvlText w:val="%1"/>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start w:val="23"/>
      <w:numFmt w:val="decimal"/>
      <w:lvlText w:val="%1.%2"/>
      <w:lvlJc w:val="left"/>
      <w:pPr>
        <w:ind w:left="36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start w:val="1"/>
      <w:numFmt w:val="decimal"/>
      <w:lvlRestart w:val="0"/>
      <w:lvlText w:val="%1.%2.%3."/>
      <w:lvlJc w:val="left"/>
      <w:pPr>
        <w:ind w:left="139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09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181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253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25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397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469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34" w15:restartNumberingAfterBreak="0">
    <w:nsid w:val="70CC0D16"/>
    <w:multiLevelType w:val="hybridMultilevel"/>
    <w:tmpl w:val="79460F56"/>
    <w:lvl w:ilvl="0" w:tplc="C6FC4B18">
      <w:start w:val="1"/>
      <w:numFmt w:val="lowerLetter"/>
      <w:lvlText w:val="%1."/>
      <w:lvlJc w:val="left"/>
      <w:pPr>
        <w:ind w:left="605"/>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1" w:tplc="3864B75E">
      <w:start w:val="1"/>
      <w:numFmt w:val="lowerLetter"/>
      <w:lvlText w:val="%2"/>
      <w:lvlJc w:val="left"/>
      <w:pPr>
        <w:ind w:left="146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2" w:tplc="0C8E26B0">
      <w:start w:val="1"/>
      <w:numFmt w:val="lowerRoman"/>
      <w:lvlText w:val="%3"/>
      <w:lvlJc w:val="left"/>
      <w:pPr>
        <w:ind w:left="218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3" w:tplc="903E1094">
      <w:start w:val="1"/>
      <w:numFmt w:val="decimal"/>
      <w:lvlText w:val="%4"/>
      <w:lvlJc w:val="left"/>
      <w:pPr>
        <w:ind w:left="290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4" w:tplc="467C64FA">
      <w:start w:val="1"/>
      <w:numFmt w:val="lowerLetter"/>
      <w:lvlText w:val="%5"/>
      <w:lvlJc w:val="left"/>
      <w:pPr>
        <w:ind w:left="362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5" w:tplc="53C658D6">
      <w:start w:val="1"/>
      <w:numFmt w:val="lowerRoman"/>
      <w:lvlText w:val="%6"/>
      <w:lvlJc w:val="left"/>
      <w:pPr>
        <w:ind w:left="434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6" w:tplc="83E8D78A">
      <w:start w:val="1"/>
      <w:numFmt w:val="decimal"/>
      <w:lvlText w:val="%7"/>
      <w:lvlJc w:val="left"/>
      <w:pPr>
        <w:ind w:left="506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7" w:tplc="587CFFEA">
      <w:start w:val="1"/>
      <w:numFmt w:val="lowerLetter"/>
      <w:lvlText w:val="%8"/>
      <w:lvlJc w:val="left"/>
      <w:pPr>
        <w:ind w:left="578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8" w:tplc="4822BFCC">
      <w:start w:val="1"/>
      <w:numFmt w:val="lowerRoman"/>
      <w:lvlText w:val="%9"/>
      <w:lvlJc w:val="left"/>
      <w:pPr>
        <w:ind w:left="650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abstractNum>
  <w:abstractNum w:abstractNumId="35" w15:restartNumberingAfterBreak="0">
    <w:nsid w:val="70F71590"/>
    <w:multiLevelType w:val="multilevel"/>
    <w:tmpl w:val="0B7CDAB6"/>
    <w:lvl w:ilvl="0">
      <w:start w:val="18"/>
      <w:numFmt w:val="decimal"/>
      <w:lvlText w:val="%1"/>
      <w:lvlJc w:val="left"/>
      <w:pPr>
        <w:ind w:left="452" w:hanging="279"/>
      </w:pPr>
      <w:rPr>
        <w:rFonts w:ascii="Arial" w:eastAsia="Arial" w:hAnsi="Arial" w:cs="Arial" w:hint="default"/>
        <w:b/>
        <w:bCs/>
        <w:w w:val="100"/>
        <w:sz w:val="20"/>
        <w:szCs w:val="20"/>
        <w:lang w:val="pt-PT" w:eastAsia="en-US" w:bidi="ar-SA"/>
      </w:rPr>
    </w:lvl>
    <w:lvl w:ilvl="1">
      <w:start w:val="1"/>
      <w:numFmt w:val="decimal"/>
      <w:lvlText w:val="%1.%2"/>
      <w:lvlJc w:val="left"/>
      <w:pPr>
        <w:ind w:left="174" w:hanging="452"/>
      </w:pPr>
      <w:rPr>
        <w:rFonts w:ascii="Arial MT" w:eastAsia="Arial MT" w:hAnsi="Arial MT" w:cs="Arial MT" w:hint="default"/>
        <w:w w:val="100"/>
        <w:sz w:val="20"/>
        <w:szCs w:val="20"/>
        <w:lang w:val="pt-PT" w:eastAsia="en-US" w:bidi="ar-SA"/>
      </w:rPr>
    </w:lvl>
    <w:lvl w:ilvl="2">
      <w:numFmt w:val="bullet"/>
      <w:lvlText w:val="•"/>
      <w:lvlJc w:val="left"/>
      <w:pPr>
        <w:ind w:left="1487" w:hanging="452"/>
      </w:pPr>
      <w:rPr>
        <w:rFonts w:hint="default"/>
        <w:lang w:val="pt-PT" w:eastAsia="en-US" w:bidi="ar-SA"/>
      </w:rPr>
    </w:lvl>
    <w:lvl w:ilvl="3">
      <w:numFmt w:val="bullet"/>
      <w:lvlText w:val="•"/>
      <w:lvlJc w:val="left"/>
      <w:pPr>
        <w:ind w:left="2514" w:hanging="452"/>
      </w:pPr>
      <w:rPr>
        <w:rFonts w:hint="default"/>
        <w:lang w:val="pt-PT" w:eastAsia="en-US" w:bidi="ar-SA"/>
      </w:rPr>
    </w:lvl>
    <w:lvl w:ilvl="4">
      <w:numFmt w:val="bullet"/>
      <w:lvlText w:val="•"/>
      <w:lvlJc w:val="left"/>
      <w:pPr>
        <w:ind w:left="3541" w:hanging="452"/>
      </w:pPr>
      <w:rPr>
        <w:rFonts w:hint="default"/>
        <w:lang w:val="pt-PT" w:eastAsia="en-US" w:bidi="ar-SA"/>
      </w:rPr>
    </w:lvl>
    <w:lvl w:ilvl="5">
      <w:numFmt w:val="bullet"/>
      <w:lvlText w:val="•"/>
      <w:lvlJc w:val="left"/>
      <w:pPr>
        <w:ind w:left="4569" w:hanging="452"/>
      </w:pPr>
      <w:rPr>
        <w:rFonts w:hint="default"/>
        <w:lang w:val="pt-PT" w:eastAsia="en-US" w:bidi="ar-SA"/>
      </w:rPr>
    </w:lvl>
    <w:lvl w:ilvl="6">
      <w:numFmt w:val="bullet"/>
      <w:lvlText w:val="•"/>
      <w:lvlJc w:val="left"/>
      <w:pPr>
        <w:ind w:left="5596" w:hanging="452"/>
      </w:pPr>
      <w:rPr>
        <w:rFonts w:hint="default"/>
        <w:lang w:val="pt-PT" w:eastAsia="en-US" w:bidi="ar-SA"/>
      </w:rPr>
    </w:lvl>
    <w:lvl w:ilvl="7">
      <w:numFmt w:val="bullet"/>
      <w:lvlText w:val="•"/>
      <w:lvlJc w:val="left"/>
      <w:pPr>
        <w:ind w:left="6623" w:hanging="452"/>
      </w:pPr>
      <w:rPr>
        <w:rFonts w:hint="default"/>
        <w:lang w:val="pt-PT" w:eastAsia="en-US" w:bidi="ar-SA"/>
      </w:rPr>
    </w:lvl>
    <w:lvl w:ilvl="8">
      <w:numFmt w:val="bullet"/>
      <w:lvlText w:val="•"/>
      <w:lvlJc w:val="left"/>
      <w:pPr>
        <w:ind w:left="7651" w:hanging="452"/>
      </w:pPr>
      <w:rPr>
        <w:rFonts w:hint="default"/>
        <w:lang w:val="pt-PT" w:eastAsia="en-US" w:bidi="ar-SA"/>
      </w:rPr>
    </w:lvl>
  </w:abstractNum>
  <w:abstractNum w:abstractNumId="36" w15:restartNumberingAfterBreak="0">
    <w:nsid w:val="7B0E261D"/>
    <w:multiLevelType w:val="multilevel"/>
    <w:tmpl w:val="354ACE5E"/>
    <w:lvl w:ilvl="0">
      <w:start w:val="17"/>
      <w:numFmt w:val="decimal"/>
      <w:lvlText w:val="%1"/>
      <w:lvlJc w:val="left"/>
      <w:pPr>
        <w:ind w:left="174" w:hanging="1067"/>
      </w:pPr>
      <w:rPr>
        <w:rFonts w:hint="default"/>
        <w:lang w:val="pt-PT" w:eastAsia="en-US" w:bidi="ar-SA"/>
      </w:rPr>
    </w:lvl>
    <w:lvl w:ilvl="1">
      <w:start w:val="9"/>
      <w:numFmt w:val="decimal"/>
      <w:lvlText w:val="%1.%2"/>
      <w:lvlJc w:val="left"/>
      <w:pPr>
        <w:ind w:left="174" w:hanging="1067"/>
      </w:pPr>
      <w:rPr>
        <w:rFonts w:hint="default"/>
        <w:lang w:val="pt-PT" w:eastAsia="en-US" w:bidi="ar-SA"/>
      </w:rPr>
    </w:lvl>
    <w:lvl w:ilvl="2">
      <w:start w:val="2"/>
      <w:numFmt w:val="decimal"/>
      <w:lvlText w:val="%1.%2.%3"/>
      <w:lvlJc w:val="left"/>
      <w:pPr>
        <w:ind w:left="174" w:hanging="1067"/>
      </w:pPr>
      <w:rPr>
        <w:rFonts w:ascii="Arial MT" w:eastAsia="Arial MT" w:hAnsi="Arial MT" w:cs="Arial MT" w:hint="default"/>
        <w:spacing w:val="0"/>
        <w:w w:val="100"/>
        <w:sz w:val="20"/>
        <w:szCs w:val="20"/>
        <w:lang w:val="pt-PT" w:eastAsia="en-US" w:bidi="ar-SA"/>
      </w:rPr>
    </w:lvl>
    <w:lvl w:ilvl="3">
      <w:numFmt w:val="bullet"/>
      <w:lvlText w:val="•"/>
      <w:lvlJc w:val="left"/>
      <w:pPr>
        <w:ind w:left="3037" w:hanging="1067"/>
      </w:pPr>
      <w:rPr>
        <w:rFonts w:hint="default"/>
        <w:lang w:val="pt-PT" w:eastAsia="en-US" w:bidi="ar-SA"/>
      </w:rPr>
    </w:lvl>
    <w:lvl w:ilvl="4">
      <w:numFmt w:val="bullet"/>
      <w:lvlText w:val="•"/>
      <w:lvlJc w:val="left"/>
      <w:pPr>
        <w:ind w:left="3990" w:hanging="1067"/>
      </w:pPr>
      <w:rPr>
        <w:rFonts w:hint="default"/>
        <w:lang w:val="pt-PT" w:eastAsia="en-US" w:bidi="ar-SA"/>
      </w:rPr>
    </w:lvl>
    <w:lvl w:ilvl="5">
      <w:numFmt w:val="bullet"/>
      <w:lvlText w:val="•"/>
      <w:lvlJc w:val="left"/>
      <w:pPr>
        <w:ind w:left="4942" w:hanging="1067"/>
      </w:pPr>
      <w:rPr>
        <w:rFonts w:hint="default"/>
        <w:lang w:val="pt-PT" w:eastAsia="en-US" w:bidi="ar-SA"/>
      </w:rPr>
    </w:lvl>
    <w:lvl w:ilvl="6">
      <w:numFmt w:val="bullet"/>
      <w:lvlText w:val="•"/>
      <w:lvlJc w:val="left"/>
      <w:pPr>
        <w:ind w:left="5895" w:hanging="1067"/>
      </w:pPr>
      <w:rPr>
        <w:rFonts w:hint="default"/>
        <w:lang w:val="pt-PT" w:eastAsia="en-US" w:bidi="ar-SA"/>
      </w:rPr>
    </w:lvl>
    <w:lvl w:ilvl="7">
      <w:numFmt w:val="bullet"/>
      <w:lvlText w:val="•"/>
      <w:lvlJc w:val="left"/>
      <w:pPr>
        <w:ind w:left="6847" w:hanging="1067"/>
      </w:pPr>
      <w:rPr>
        <w:rFonts w:hint="default"/>
        <w:lang w:val="pt-PT" w:eastAsia="en-US" w:bidi="ar-SA"/>
      </w:rPr>
    </w:lvl>
    <w:lvl w:ilvl="8">
      <w:numFmt w:val="bullet"/>
      <w:lvlText w:val="•"/>
      <w:lvlJc w:val="left"/>
      <w:pPr>
        <w:ind w:left="7800" w:hanging="1067"/>
      </w:pPr>
      <w:rPr>
        <w:rFonts w:hint="default"/>
        <w:lang w:val="pt-PT" w:eastAsia="en-US" w:bidi="ar-SA"/>
      </w:rPr>
    </w:lvl>
  </w:abstractNum>
  <w:abstractNum w:abstractNumId="37" w15:restartNumberingAfterBreak="0">
    <w:nsid w:val="7BD034C2"/>
    <w:multiLevelType w:val="multilevel"/>
    <w:tmpl w:val="69BA8D54"/>
    <w:lvl w:ilvl="0">
      <w:start w:val="15"/>
      <w:numFmt w:val="decimal"/>
      <w:lvlText w:val="%1"/>
      <w:lvlJc w:val="left"/>
      <w:pPr>
        <w:ind w:left="801" w:hanging="628"/>
      </w:pPr>
      <w:rPr>
        <w:rFonts w:hint="default"/>
        <w:lang w:val="pt-PT" w:eastAsia="en-US" w:bidi="ar-SA"/>
      </w:rPr>
    </w:lvl>
    <w:lvl w:ilvl="1">
      <w:start w:val="3"/>
      <w:numFmt w:val="decimal"/>
      <w:lvlText w:val="%1.%2"/>
      <w:lvlJc w:val="left"/>
      <w:pPr>
        <w:ind w:left="801" w:hanging="628"/>
      </w:pPr>
      <w:rPr>
        <w:rFonts w:hint="default"/>
        <w:lang w:val="pt-PT" w:eastAsia="en-US" w:bidi="ar-SA"/>
      </w:rPr>
    </w:lvl>
    <w:lvl w:ilvl="2">
      <w:start w:val="7"/>
      <w:numFmt w:val="decimal"/>
      <w:lvlText w:val="%1.%2.%3"/>
      <w:lvlJc w:val="left"/>
      <w:pPr>
        <w:ind w:left="801" w:hanging="628"/>
      </w:pPr>
      <w:rPr>
        <w:rFonts w:ascii="Arial MT" w:eastAsia="Arial MT" w:hAnsi="Arial MT" w:cs="Arial MT" w:hint="default"/>
        <w:w w:val="100"/>
        <w:sz w:val="20"/>
        <w:szCs w:val="20"/>
        <w:lang w:val="pt-PT" w:eastAsia="en-US" w:bidi="ar-SA"/>
      </w:rPr>
    </w:lvl>
    <w:lvl w:ilvl="3">
      <w:numFmt w:val="bullet"/>
      <w:lvlText w:val="•"/>
      <w:lvlJc w:val="left"/>
      <w:pPr>
        <w:ind w:left="3471" w:hanging="628"/>
      </w:pPr>
      <w:rPr>
        <w:rFonts w:hint="default"/>
        <w:lang w:val="pt-PT" w:eastAsia="en-US" w:bidi="ar-SA"/>
      </w:rPr>
    </w:lvl>
    <w:lvl w:ilvl="4">
      <w:numFmt w:val="bullet"/>
      <w:lvlText w:val="•"/>
      <w:lvlJc w:val="left"/>
      <w:pPr>
        <w:ind w:left="4362" w:hanging="628"/>
      </w:pPr>
      <w:rPr>
        <w:rFonts w:hint="default"/>
        <w:lang w:val="pt-PT" w:eastAsia="en-US" w:bidi="ar-SA"/>
      </w:rPr>
    </w:lvl>
    <w:lvl w:ilvl="5">
      <w:numFmt w:val="bullet"/>
      <w:lvlText w:val="•"/>
      <w:lvlJc w:val="left"/>
      <w:pPr>
        <w:ind w:left="5252" w:hanging="628"/>
      </w:pPr>
      <w:rPr>
        <w:rFonts w:hint="default"/>
        <w:lang w:val="pt-PT" w:eastAsia="en-US" w:bidi="ar-SA"/>
      </w:rPr>
    </w:lvl>
    <w:lvl w:ilvl="6">
      <w:numFmt w:val="bullet"/>
      <w:lvlText w:val="•"/>
      <w:lvlJc w:val="left"/>
      <w:pPr>
        <w:ind w:left="6143" w:hanging="628"/>
      </w:pPr>
      <w:rPr>
        <w:rFonts w:hint="default"/>
        <w:lang w:val="pt-PT" w:eastAsia="en-US" w:bidi="ar-SA"/>
      </w:rPr>
    </w:lvl>
    <w:lvl w:ilvl="7">
      <w:numFmt w:val="bullet"/>
      <w:lvlText w:val="•"/>
      <w:lvlJc w:val="left"/>
      <w:pPr>
        <w:ind w:left="7033" w:hanging="628"/>
      </w:pPr>
      <w:rPr>
        <w:rFonts w:hint="default"/>
        <w:lang w:val="pt-PT" w:eastAsia="en-US" w:bidi="ar-SA"/>
      </w:rPr>
    </w:lvl>
    <w:lvl w:ilvl="8">
      <w:numFmt w:val="bullet"/>
      <w:lvlText w:val="•"/>
      <w:lvlJc w:val="left"/>
      <w:pPr>
        <w:ind w:left="7924" w:hanging="628"/>
      </w:pPr>
      <w:rPr>
        <w:rFonts w:hint="default"/>
        <w:lang w:val="pt-PT" w:eastAsia="en-US" w:bidi="ar-SA"/>
      </w:rPr>
    </w:lvl>
  </w:abstractNum>
  <w:abstractNum w:abstractNumId="38" w15:restartNumberingAfterBreak="0">
    <w:nsid w:val="7F8D1E49"/>
    <w:multiLevelType w:val="multilevel"/>
    <w:tmpl w:val="2B9C8BA6"/>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14"/>
  </w:num>
  <w:num w:numId="2">
    <w:abstractNumId w:val="38"/>
  </w:num>
  <w:num w:numId="3">
    <w:abstractNumId w:val="11"/>
  </w:num>
  <w:num w:numId="4">
    <w:abstractNumId w:val="2"/>
  </w:num>
  <w:num w:numId="5">
    <w:abstractNumId w:val="16"/>
  </w:num>
  <w:num w:numId="6">
    <w:abstractNumId w:val="5"/>
  </w:num>
  <w:num w:numId="7">
    <w:abstractNumId w:val="19"/>
  </w:num>
  <w:num w:numId="8">
    <w:abstractNumId w:val="6"/>
  </w:num>
  <w:num w:numId="9">
    <w:abstractNumId w:val="31"/>
  </w:num>
  <w:num w:numId="10">
    <w:abstractNumId w:val="3"/>
  </w:num>
  <w:num w:numId="11">
    <w:abstractNumId w:val="25"/>
  </w:num>
  <w:num w:numId="12">
    <w:abstractNumId w:val="35"/>
  </w:num>
  <w:num w:numId="13">
    <w:abstractNumId w:val="36"/>
  </w:num>
  <w:num w:numId="14">
    <w:abstractNumId w:val="1"/>
  </w:num>
  <w:num w:numId="15">
    <w:abstractNumId w:val="30"/>
  </w:num>
  <w:num w:numId="16">
    <w:abstractNumId w:val="37"/>
  </w:num>
  <w:num w:numId="17">
    <w:abstractNumId w:val="32"/>
  </w:num>
  <w:num w:numId="18">
    <w:abstractNumId w:val="22"/>
  </w:num>
  <w:num w:numId="19">
    <w:abstractNumId w:val="17"/>
  </w:num>
  <w:num w:numId="20">
    <w:abstractNumId w:val="29"/>
  </w:num>
  <w:num w:numId="21">
    <w:abstractNumId w:val="0"/>
  </w:num>
  <w:num w:numId="22">
    <w:abstractNumId w:val="8"/>
  </w:num>
  <w:num w:numId="23">
    <w:abstractNumId w:val="12"/>
  </w:num>
  <w:num w:numId="24">
    <w:abstractNumId w:val="4"/>
  </w:num>
  <w:num w:numId="25">
    <w:abstractNumId w:val="23"/>
  </w:num>
  <w:num w:numId="26">
    <w:abstractNumId w:val="27"/>
  </w:num>
  <w:num w:numId="27">
    <w:abstractNumId w:val="10"/>
  </w:num>
  <w:num w:numId="28">
    <w:abstractNumId w:val="28"/>
  </w:num>
  <w:num w:numId="29">
    <w:abstractNumId w:val="21"/>
  </w:num>
  <w:num w:numId="30">
    <w:abstractNumId w:val="9"/>
  </w:num>
  <w:num w:numId="31">
    <w:abstractNumId w:val="20"/>
  </w:num>
  <w:num w:numId="32">
    <w:abstractNumId w:val="13"/>
  </w:num>
  <w:num w:numId="33">
    <w:abstractNumId w:val="18"/>
  </w:num>
  <w:num w:numId="34">
    <w:abstractNumId w:val="34"/>
  </w:num>
  <w:num w:numId="35">
    <w:abstractNumId w:val="24"/>
  </w:num>
  <w:num w:numId="36">
    <w:abstractNumId w:val="26"/>
  </w:num>
  <w:num w:numId="37">
    <w:abstractNumId w:val="15"/>
  </w:num>
  <w:num w:numId="38">
    <w:abstractNumId w:val="33"/>
  </w:num>
  <w:num w:numId="39">
    <w:abstractNumId w:val="7"/>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577F"/>
    <w:rsid w:val="000041A3"/>
    <w:rsid w:val="00005CD4"/>
    <w:rsid w:val="000079CB"/>
    <w:rsid w:val="00011FDD"/>
    <w:rsid w:val="00013E25"/>
    <w:rsid w:val="00016E4F"/>
    <w:rsid w:val="00027BAF"/>
    <w:rsid w:val="0003390B"/>
    <w:rsid w:val="00041307"/>
    <w:rsid w:val="00043790"/>
    <w:rsid w:val="00050EE8"/>
    <w:rsid w:val="000520C3"/>
    <w:rsid w:val="00054DE8"/>
    <w:rsid w:val="00055362"/>
    <w:rsid w:val="00061F81"/>
    <w:rsid w:val="00066CE0"/>
    <w:rsid w:val="00067491"/>
    <w:rsid w:val="00070BBC"/>
    <w:rsid w:val="00071657"/>
    <w:rsid w:val="00081463"/>
    <w:rsid w:val="00085078"/>
    <w:rsid w:val="00090A83"/>
    <w:rsid w:val="00091921"/>
    <w:rsid w:val="000A60E2"/>
    <w:rsid w:val="000B1F56"/>
    <w:rsid w:val="000B359E"/>
    <w:rsid w:val="000B52AB"/>
    <w:rsid w:val="000C78EE"/>
    <w:rsid w:val="000D1F36"/>
    <w:rsid w:val="000D62B6"/>
    <w:rsid w:val="000D670B"/>
    <w:rsid w:val="000D6C07"/>
    <w:rsid w:val="000E4504"/>
    <w:rsid w:val="000F0D69"/>
    <w:rsid w:val="000F2FCA"/>
    <w:rsid w:val="000F6A54"/>
    <w:rsid w:val="000F71F1"/>
    <w:rsid w:val="0010352A"/>
    <w:rsid w:val="0010466B"/>
    <w:rsid w:val="001064F6"/>
    <w:rsid w:val="001148D0"/>
    <w:rsid w:val="00117CAF"/>
    <w:rsid w:val="00122796"/>
    <w:rsid w:val="0012512A"/>
    <w:rsid w:val="0012690A"/>
    <w:rsid w:val="001270FF"/>
    <w:rsid w:val="001308AE"/>
    <w:rsid w:val="00135EA3"/>
    <w:rsid w:val="00135F27"/>
    <w:rsid w:val="00141355"/>
    <w:rsid w:val="00141940"/>
    <w:rsid w:val="00143C4A"/>
    <w:rsid w:val="00143D55"/>
    <w:rsid w:val="00145CDB"/>
    <w:rsid w:val="00146078"/>
    <w:rsid w:val="00152316"/>
    <w:rsid w:val="00156EA7"/>
    <w:rsid w:val="0016078A"/>
    <w:rsid w:val="00162E3E"/>
    <w:rsid w:val="00181136"/>
    <w:rsid w:val="001902E0"/>
    <w:rsid w:val="00191D1A"/>
    <w:rsid w:val="001A59A1"/>
    <w:rsid w:val="001A6B33"/>
    <w:rsid w:val="001A73D8"/>
    <w:rsid w:val="001B393E"/>
    <w:rsid w:val="001C0422"/>
    <w:rsid w:val="001C2F4A"/>
    <w:rsid w:val="001D009B"/>
    <w:rsid w:val="001D31EE"/>
    <w:rsid w:val="001D47FA"/>
    <w:rsid w:val="001F3550"/>
    <w:rsid w:val="001F7603"/>
    <w:rsid w:val="00201695"/>
    <w:rsid w:val="002060D8"/>
    <w:rsid w:val="00213F08"/>
    <w:rsid w:val="002219AF"/>
    <w:rsid w:val="002219C8"/>
    <w:rsid w:val="002269F2"/>
    <w:rsid w:val="00240693"/>
    <w:rsid w:val="00244BE0"/>
    <w:rsid w:val="002505E6"/>
    <w:rsid w:val="00252E8B"/>
    <w:rsid w:val="002551B6"/>
    <w:rsid w:val="002761D1"/>
    <w:rsid w:val="00277072"/>
    <w:rsid w:val="00285392"/>
    <w:rsid w:val="00291040"/>
    <w:rsid w:val="00296D79"/>
    <w:rsid w:val="002A237E"/>
    <w:rsid w:val="002A58D2"/>
    <w:rsid w:val="002A63FF"/>
    <w:rsid w:val="002B028A"/>
    <w:rsid w:val="002B079D"/>
    <w:rsid w:val="002B1A21"/>
    <w:rsid w:val="002B65E4"/>
    <w:rsid w:val="002B754C"/>
    <w:rsid w:val="002C1989"/>
    <w:rsid w:val="002C2824"/>
    <w:rsid w:val="002C2F11"/>
    <w:rsid w:val="002C2FAC"/>
    <w:rsid w:val="002C41FC"/>
    <w:rsid w:val="002D1E1B"/>
    <w:rsid w:val="002D64BE"/>
    <w:rsid w:val="002E7484"/>
    <w:rsid w:val="002E748D"/>
    <w:rsid w:val="002F0413"/>
    <w:rsid w:val="00303931"/>
    <w:rsid w:val="00303DBD"/>
    <w:rsid w:val="00303F65"/>
    <w:rsid w:val="00305207"/>
    <w:rsid w:val="00305C04"/>
    <w:rsid w:val="003137A5"/>
    <w:rsid w:val="003223D9"/>
    <w:rsid w:val="00324454"/>
    <w:rsid w:val="00331CBC"/>
    <w:rsid w:val="00334B96"/>
    <w:rsid w:val="00354564"/>
    <w:rsid w:val="00355748"/>
    <w:rsid w:val="00362C01"/>
    <w:rsid w:val="003653B3"/>
    <w:rsid w:val="00365FBF"/>
    <w:rsid w:val="00371100"/>
    <w:rsid w:val="00375196"/>
    <w:rsid w:val="00376B1E"/>
    <w:rsid w:val="00376FCD"/>
    <w:rsid w:val="00381B8A"/>
    <w:rsid w:val="00393458"/>
    <w:rsid w:val="0039393D"/>
    <w:rsid w:val="003A14A3"/>
    <w:rsid w:val="003A4061"/>
    <w:rsid w:val="003B068F"/>
    <w:rsid w:val="003B2F64"/>
    <w:rsid w:val="003B4574"/>
    <w:rsid w:val="003B5346"/>
    <w:rsid w:val="003C19C3"/>
    <w:rsid w:val="003C69CD"/>
    <w:rsid w:val="003D049E"/>
    <w:rsid w:val="003D577F"/>
    <w:rsid w:val="003D60D0"/>
    <w:rsid w:val="003F4C61"/>
    <w:rsid w:val="0040266D"/>
    <w:rsid w:val="00406BCF"/>
    <w:rsid w:val="004107A9"/>
    <w:rsid w:val="004157F5"/>
    <w:rsid w:val="004235FD"/>
    <w:rsid w:val="00426A2F"/>
    <w:rsid w:val="004278E4"/>
    <w:rsid w:val="004304AA"/>
    <w:rsid w:val="00433F08"/>
    <w:rsid w:val="004368EB"/>
    <w:rsid w:val="00440918"/>
    <w:rsid w:val="0044301E"/>
    <w:rsid w:val="00445FE1"/>
    <w:rsid w:val="00450327"/>
    <w:rsid w:val="00454BC0"/>
    <w:rsid w:val="0045590B"/>
    <w:rsid w:val="00456894"/>
    <w:rsid w:val="0046382F"/>
    <w:rsid w:val="00464063"/>
    <w:rsid w:val="0046524F"/>
    <w:rsid w:val="00471450"/>
    <w:rsid w:val="00473841"/>
    <w:rsid w:val="00484CAC"/>
    <w:rsid w:val="0049290C"/>
    <w:rsid w:val="004A067F"/>
    <w:rsid w:val="004A1F1A"/>
    <w:rsid w:val="004A3FC2"/>
    <w:rsid w:val="004A715D"/>
    <w:rsid w:val="004A7DE5"/>
    <w:rsid w:val="004B1519"/>
    <w:rsid w:val="004B5E6A"/>
    <w:rsid w:val="004D38A6"/>
    <w:rsid w:val="004D6BA5"/>
    <w:rsid w:val="004E14D6"/>
    <w:rsid w:val="004E266F"/>
    <w:rsid w:val="004F05CE"/>
    <w:rsid w:val="004F21C8"/>
    <w:rsid w:val="005052F5"/>
    <w:rsid w:val="00506ADC"/>
    <w:rsid w:val="005133D0"/>
    <w:rsid w:val="00513C0C"/>
    <w:rsid w:val="00517E90"/>
    <w:rsid w:val="00520434"/>
    <w:rsid w:val="00521B1E"/>
    <w:rsid w:val="00524CBC"/>
    <w:rsid w:val="00525129"/>
    <w:rsid w:val="0052535B"/>
    <w:rsid w:val="005359CB"/>
    <w:rsid w:val="00540BC3"/>
    <w:rsid w:val="005448FF"/>
    <w:rsid w:val="0055212C"/>
    <w:rsid w:val="005523DF"/>
    <w:rsid w:val="0055555C"/>
    <w:rsid w:val="00557E9A"/>
    <w:rsid w:val="00563AF9"/>
    <w:rsid w:val="00565E8C"/>
    <w:rsid w:val="00565F59"/>
    <w:rsid w:val="00567D83"/>
    <w:rsid w:val="005777B8"/>
    <w:rsid w:val="00580016"/>
    <w:rsid w:val="00580BEC"/>
    <w:rsid w:val="00583335"/>
    <w:rsid w:val="0058404D"/>
    <w:rsid w:val="005853C6"/>
    <w:rsid w:val="00592295"/>
    <w:rsid w:val="00595CF3"/>
    <w:rsid w:val="00596CD3"/>
    <w:rsid w:val="00596D7B"/>
    <w:rsid w:val="005B39A8"/>
    <w:rsid w:val="005B5135"/>
    <w:rsid w:val="005C2E84"/>
    <w:rsid w:val="005C576F"/>
    <w:rsid w:val="005D1D41"/>
    <w:rsid w:val="005D3F5C"/>
    <w:rsid w:val="005E5E83"/>
    <w:rsid w:val="005E6735"/>
    <w:rsid w:val="005F3D28"/>
    <w:rsid w:val="005F646D"/>
    <w:rsid w:val="005F7AC3"/>
    <w:rsid w:val="00600DC9"/>
    <w:rsid w:val="00604012"/>
    <w:rsid w:val="0060781A"/>
    <w:rsid w:val="006120BF"/>
    <w:rsid w:val="006137ED"/>
    <w:rsid w:val="00613C96"/>
    <w:rsid w:val="00617152"/>
    <w:rsid w:val="006223BC"/>
    <w:rsid w:val="0062277F"/>
    <w:rsid w:val="0062504D"/>
    <w:rsid w:val="00625A3A"/>
    <w:rsid w:val="00627AE8"/>
    <w:rsid w:val="006306CA"/>
    <w:rsid w:val="00631AC5"/>
    <w:rsid w:val="00633C36"/>
    <w:rsid w:val="006416D6"/>
    <w:rsid w:val="00645C7A"/>
    <w:rsid w:val="006467C4"/>
    <w:rsid w:val="00646BA1"/>
    <w:rsid w:val="0065022B"/>
    <w:rsid w:val="00653785"/>
    <w:rsid w:val="00655AF0"/>
    <w:rsid w:val="00666193"/>
    <w:rsid w:val="0067067B"/>
    <w:rsid w:val="00671E37"/>
    <w:rsid w:val="00674CF4"/>
    <w:rsid w:val="00675AB9"/>
    <w:rsid w:val="00677BBC"/>
    <w:rsid w:val="00682527"/>
    <w:rsid w:val="00682B15"/>
    <w:rsid w:val="006901CC"/>
    <w:rsid w:val="00692313"/>
    <w:rsid w:val="006A0AE6"/>
    <w:rsid w:val="006A24E4"/>
    <w:rsid w:val="006A26B3"/>
    <w:rsid w:val="006C44C5"/>
    <w:rsid w:val="006C4E22"/>
    <w:rsid w:val="006D0755"/>
    <w:rsid w:val="006E06C8"/>
    <w:rsid w:val="006E73DA"/>
    <w:rsid w:val="00701D14"/>
    <w:rsid w:val="00715BD1"/>
    <w:rsid w:val="00716AB3"/>
    <w:rsid w:val="0073238D"/>
    <w:rsid w:val="00744665"/>
    <w:rsid w:val="007460F0"/>
    <w:rsid w:val="00746310"/>
    <w:rsid w:val="007463E0"/>
    <w:rsid w:val="00746619"/>
    <w:rsid w:val="00746810"/>
    <w:rsid w:val="00752658"/>
    <w:rsid w:val="0075405C"/>
    <w:rsid w:val="00756EFA"/>
    <w:rsid w:val="00760DC8"/>
    <w:rsid w:val="0076229B"/>
    <w:rsid w:val="007638A6"/>
    <w:rsid w:val="007643A7"/>
    <w:rsid w:val="00764565"/>
    <w:rsid w:val="007815A2"/>
    <w:rsid w:val="0078501B"/>
    <w:rsid w:val="007937C6"/>
    <w:rsid w:val="007A1101"/>
    <w:rsid w:val="007A3BBB"/>
    <w:rsid w:val="007A4AE6"/>
    <w:rsid w:val="007A616A"/>
    <w:rsid w:val="007B1946"/>
    <w:rsid w:val="007B1AEB"/>
    <w:rsid w:val="007B1F8F"/>
    <w:rsid w:val="007B5C2A"/>
    <w:rsid w:val="007B68E8"/>
    <w:rsid w:val="007C3DAC"/>
    <w:rsid w:val="007C50FC"/>
    <w:rsid w:val="007D080E"/>
    <w:rsid w:val="007E17FD"/>
    <w:rsid w:val="007E45A6"/>
    <w:rsid w:val="007E5015"/>
    <w:rsid w:val="007E68A6"/>
    <w:rsid w:val="007E720B"/>
    <w:rsid w:val="007F7A61"/>
    <w:rsid w:val="00810474"/>
    <w:rsid w:val="0081215E"/>
    <w:rsid w:val="008169A2"/>
    <w:rsid w:val="00820D7A"/>
    <w:rsid w:val="00821811"/>
    <w:rsid w:val="008365BC"/>
    <w:rsid w:val="008555DE"/>
    <w:rsid w:val="0085575B"/>
    <w:rsid w:val="0085694F"/>
    <w:rsid w:val="00857E1C"/>
    <w:rsid w:val="008612CC"/>
    <w:rsid w:val="00861BD5"/>
    <w:rsid w:val="00866621"/>
    <w:rsid w:val="00867DA9"/>
    <w:rsid w:val="00870755"/>
    <w:rsid w:val="00881EBB"/>
    <w:rsid w:val="008830EA"/>
    <w:rsid w:val="00891D8B"/>
    <w:rsid w:val="008925A2"/>
    <w:rsid w:val="008A3D8F"/>
    <w:rsid w:val="008B3BD6"/>
    <w:rsid w:val="008B60C0"/>
    <w:rsid w:val="008B64C3"/>
    <w:rsid w:val="008B6804"/>
    <w:rsid w:val="008C1916"/>
    <w:rsid w:val="008D3618"/>
    <w:rsid w:val="008D3CDF"/>
    <w:rsid w:val="008D5F2C"/>
    <w:rsid w:val="008E03C1"/>
    <w:rsid w:val="008E1AC5"/>
    <w:rsid w:val="008E1F85"/>
    <w:rsid w:val="008E3673"/>
    <w:rsid w:val="008F0A23"/>
    <w:rsid w:val="008F2824"/>
    <w:rsid w:val="008F63D1"/>
    <w:rsid w:val="00901C14"/>
    <w:rsid w:val="009039E7"/>
    <w:rsid w:val="00925530"/>
    <w:rsid w:val="00925D89"/>
    <w:rsid w:val="00926A37"/>
    <w:rsid w:val="00926EAD"/>
    <w:rsid w:val="00940E2C"/>
    <w:rsid w:val="0095021B"/>
    <w:rsid w:val="009703CE"/>
    <w:rsid w:val="00970968"/>
    <w:rsid w:val="00971C4A"/>
    <w:rsid w:val="00987519"/>
    <w:rsid w:val="0099093E"/>
    <w:rsid w:val="009942DE"/>
    <w:rsid w:val="00997D16"/>
    <w:rsid w:val="009A4960"/>
    <w:rsid w:val="009A5738"/>
    <w:rsid w:val="009B74A1"/>
    <w:rsid w:val="009C2818"/>
    <w:rsid w:val="009C3C3F"/>
    <w:rsid w:val="009C641A"/>
    <w:rsid w:val="009D1694"/>
    <w:rsid w:val="009D3B02"/>
    <w:rsid w:val="009D6092"/>
    <w:rsid w:val="009E4BC7"/>
    <w:rsid w:val="009E658D"/>
    <w:rsid w:val="009F3505"/>
    <w:rsid w:val="009F357E"/>
    <w:rsid w:val="009F5B81"/>
    <w:rsid w:val="00A05AEA"/>
    <w:rsid w:val="00A118FC"/>
    <w:rsid w:val="00A13066"/>
    <w:rsid w:val="00A13E89"/>
    <w:rsid w:val="00A1524C"/>
    <w:rsid w:val="00A1661C"/>
    <w:rsid w:val="00A214FB"/>
    <w:rsid w:val="00A311F9"/>
    <w:rsid w:val="00A33EE3"/>
    <w:rsid w:val="00A4357D"/>
    <w:rsid w:val="00A50373"/>
    <w:rsid w:val="00A53302"/>
    <w:rsid w:val="00A5518C"/>
    <w:rsid w:val="00A557FE"/>
    <w:rsid w:val="00A6210B"/>
    <w:rsid w:val="00A62956"/>
    <w:rsid w:val="00A731EC"/>
    <w:rsid w:val="00A73E2C"/>
    <w:rsid w:val="00A87AE0"/>
    <w:rsid w:val="00A9178A"/>
    <w:rsid w:val="00A92C3C"/>
    <w:rsid w:val="00A947AA"/>
    <w:rsid w:val="00AA67C9"/>
    <w:rsid w:val="00AA7B01"/>
    <w:rsid w:val="00AB6712"/>
    <w:rsid w:val="00AB7929"/>
    <w:rsid w:val="00AC7F6E"/>
    <w:rsid w:val="00AD045A"/>
    <w:rsid w:val="00AD0DB5"/>
    <w:rsid w:val="00AD1829"/>
    <w:rsid w:val="00AD38B3"/>
    <w:rsid w:val="00AE0D93"/>
    <w:rsid w:val="00AE683B"/>
    <w:rsid w:val="00AE76D7"/>
    <w:rsid w:val="00AE7903"/>
    <w:rsid w:val="00AF2A69"/>
    <w:rsid w:val="00B00360"/>
    <w:rsid w:val="00B02388"/>
    <w:rsid w:val="00B041D5"/>
    <w:rsid w:val="00B15794"/>
    <w:rsid w:val="00B20D1D"/>
    <w:rsid w:val="00B239F0"/>
    <w:rsid w:val="00B23D03"/>
    <w:rsid w:val="00B30617"/>
    <w:rsid w:val="00B3407F"/>
    <w:rsid w:val="00B34DA9"/>
    <w:rsid w:val="00B37FD6"/>
    <w:rsid w:val="00B42543"/>
    <w:rsid w:val="00B43B6A"/>
    <w:rsid w:val="00B445C4"/>
    <w:rsid w:val="00B5141E"/>
    <w:rsid w:val="00B5578F"/>
    <w:rsid w:val="00B55E85"/>
    <w:rsid w:val="00B62AA4"/>
    <w:rsid w:val="00B63A00"/>
    <w:rsid w:val="00B63E15"/>
    <w:rsid w:val="00B840AC"/>
    <w:rsid w:val="00B85ABF"/>
    <w:rsid w:val="00BD0376"/>
    <w:rsid w:val="00BD0A1A"/>
    <w:rsid w:val="00BD255B"/>
    <w:rsid w:val="00BD45E8"/>
    <w:rsid w:val="00BE3E5C"/>
    <w:rsid w:val="00BF7047"/>
    <w:rsid w:val="00C00BF5"/>
    <w:rsid w:val="00C11B71"/>
    <w:rsid w:val="00C12B0C"/>
    <w:rsid w:val="00C168C0"/>
    <w:rsid w:val="00C16C57"/>
    <w:rsid w:val="00C20EE7"/>
    <w:rsid w:val="00C40A4B"/>
    <w:rsid w:val="00C4236E"/>
    <w:rsid w:val="00C42B04"/>
    <w:rsid w:val="00C50BBB"/>
    <w:rsid w:val="00C518AF"/>
    <w:rsid w:val="00C520BE"/>
    <w:rsid w:val="00C54C45"/>
    <w:rsid w:val="00C62913"/>
    <w:rsid w:val="00C661C9"/>
    <w:rsid w:val="00C724E8"/>
    <w:rsid w:val="00C9345E"/>
    <w:rsid w:val="00C93EDB"/>
    <w:rsid w:val="00C97584"/>
    <w:rsid w:val="00CA317F"/>
    <w:rsid w:val="00CA32BE"/>
    <w:rsid w:val="00CA4DCA"/>
    <w:rsid w:val="00CA7941"/>
    <w:rsid w:val="00CA7F0A"/>
    <w:rsid w:val="00CB1BEC"/>
    <w:rsid w:val="00CB2DBA"/>
    <w:rsid w:val="00CB3D9E"/>
    <w:rsid w:val="00CB5240"/>
    <w:rsid w:val="00CD3A2D"/>
    <w:rsid w:val="00CD5F13"/>
    <w:rsid w:val="00CD5F87"/>
    <w:rsid w:val="00CD768E"/>
    <w:rsid w:val="00CE1C97"/>
    <w:rsid w:val="00CE1F91"/>
    <w:rsid w:val="00CE20A6"/>
    <w:rsid w:val="00CE5069"/>
    <w:rsid w:val="00CE55D8"/>
    <w:rsid w:val="00CF15A1"/>
    <w:rsid w:val="00D012AB"/>
    <w:rsid w:val="00D12AB5"/>
    <w:rsid w:val="00D15389"/>
    <w:rsid w:val="00D46DC5"/>
    <w:rsid w:val="00D51D31"/>
    <w:rsid w:val="00D62D14"/>
    <w:rsid w:val="00D6770D"/>
    <w:rsid w:val="00D738E5"/>
    <w:rsid w:val="00D75F53"/>
    <w:rsid w:val="00D81E3D"/>
    <w:rsid w:val="00D8320A"/>
    <w:rsid w:val="00D84F51"/>
    <w:rsid w:val="00D865B6"/>
    <w:rsid w:val="00D93DDC"/>
    <w:rsid w:val="00DA03FC"/>
    <w:rsid w:val="00DA703E"/>
    <w:rsid w:val="00DB0BC9"/>
    <w:rsid w:val="00DB6BA3"/>
    <w:rsid w:val="00DC6964"/>
    <w:rsid w:val="00DD1E05"/>
    <w:rsid w:val="00DD7B2B"/>
    <w:rsid w:val="00DE0A83"/>
    <w:rsid w:val="00DE0BE8"/>
    <w:rsid w:val="00DE121F"/>
    <w:rsid w:val="00DF1867"/>
    <w:rsid w:val="00DF42BE"/>
    <w:rsid w:val="00DF4FD5"/>
    <w:rsid w:val="00DF6F58"/>
    <w:rsid w:val="00E02471"/>
    <w:rsid w:val="00E05CB5"/>
    <w:rsid w:val="00E060C3"/>
    <w:rsid w:val="00E116DD"/>
    <w:rsid w:val="00E11AC2"/>
    <w:rsid w:val="00E11BE0"/>
    <w:rsid w:val="00E1299A"/>
    <w:rsid w:val="00E155A1"/>
    <w:rsid w:val="00E20B25"/>
    <w:rsid w:val="00E328CF"/>
    <w:rsid w:val="00E32DF6"/>
    <w:rsid w:val="00E3783B"/>
    <w:rsid w:val="00E43017"/>
    <w:rsid w:val="00E46854"/>
    <w:rsid w:val="00E5099A"/>
    <w:rsid w:val="00E528A3"/>
    <w:rsid w:val="00E53F71"/>
    <w:rsid w:val="00E61883"/>
    <w:rsid w:val="00E62D8F"/>
    <w:rsid w:val="00E6351A"/>
    <w:rsid w:val="00E65771"/>
    <w:rsid w:val="00E70C9B"/>
    <w:rsid w:val="00E72C0C"/>
    <w:rsid w:val="00E86D4F"/>
    <w:rsid w:val="00E91AE3"/>
    <w:rsid w:val="00E92B85"/>
    <w:rsid w:val="00E93667"/>
    <w:rsid w:val="00E95F4E"/>
    <w:rsid w:val="00EA14B2"/>
    <w:rsid w:val="00EA1733"/>
    <w:rsid w:val="00EA1B7D"/>
    <w:rsid w:val="00EB1218"/>
    <w:rsid w:val="00EC2127"/>
    <w:rsid w:val="00EE2742"/>
    <w:rsid w:val="00EE34BD"/>
    <w:rsid w:val="00EE5C49"/>
    <w:rsid w:val="00EF4276"/>
    <w:rsid w:val="00F006BE"/>
    <w:rsid w:val="00F02F8F"/>
    <w:rsid w:val="00F15741"/>
    <w:rsid w:val="00F15F09"/>
    <w:rsid w:val="00F20451"/>
    <w:rsid w:val="00F21344"/>
    <w:rsid w:val="00F25DE1"/>
    <w:rsid w:val="00F528B0"/>
    <w:rsid w:val="00F53FA1"/>
    <w:rsid w:val="00F63B08"/>
    <w:rsid w:val="00F64FA9"/>
    <w:rsid w:val="00F8063B"/>
    <w:rsid w:val="00F8374C"/>
    <w:rsid w:val="00F906F9"/>
    <w:rsid w:val="00F9232C"/>
    <w:rsid w:val="00F93ECA"/>
    <w:rsid w:val="00F9425E"/>
    <w:rsid w:val="00F94571"/>
    <w:rsid w:val="00F9467C"/>
    <w:rsid w:val="00F975ED"/>
    <w:rsid w:val="00F97E72"/>
    <w:rsid w:val="00FA4783"/>
    <w:rsid w:val="00FA4946"/>
    <w:rsid w:val="00FB29E1"/>
    <w:rsid w:val="00FB3550"/>
    <w:rsid w:val="00FB42DD"/>
    <w:rsid w:val="00FC5816"/>
    <w:rsid w:val="00FD0F99"/>
    <w:rsid w:val="00FD570E"/>
    <w:rsid w:val="00FE380F"/>
    <w:rsid w:val="00FE579D"/>
    <w:rsid w:val="00FE6BCC"/>
    <w:rsid w:val="00FF3155"/>
    <w:rsid w:val="00FF466D"/>
    <w:rsid w:val="00FF4F7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65A007"/>
  <w15:chartTrackingRefBased/>
  <w15:docId w15:val="{6BD956A8-DFB4-49A3-81BA-2A1E125E6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link w:val="Ttulo1Char"/>
    <w:uiPriority w:val="1"/>
    <w:qFormat/>
    <w:rsid w:val="00DA03FC"/>
    <w:pPr>
      <w:widowControl w:val="0"/>
      <w:autoSpaceDE w:val="0"/>
      <w:autoSpaceDN w:val="0"/>
      <w:spacing w:before="85" w:after="0" w:line="240" w:lineRule="auto"/>
      <w:ind w:left="2614" w:right="2577"/>
      <w:jc w:val="center"/>
      <w:outlineLvl w:val="0"/>
    </w:pPr>
    <w:rPr>
      <w:rFonts w:ascii="Times New Roman" w:eastAsia="Times New Roman" w:hAnsi="Times New Roman" w:cs="Times New Roman"/>
      <w:b/>
      <w:bCs/>
      <w:sz w:val="36"/>
      <w:szCs w:val="36"/>
      <w:lang w:val="pt-PT"/>
    </w:rPr>
  </w:style>
  <w:style w:type="paragraph" w:styleId="Ttulo2">
    <w:name w:val="heading 2"/>
    <w:basedOn w:val="Normal"/>
    <w:link w:val="Ttulo2Char"/>
    <w:uiPriority w:val="1"/>
    <w:qFormat/>
    <w:rsid w:val="00DA03FC"/>
    <w:pPr>
      <w:widowControl w:val="0"/>
      <w:autoSpaceDE w:val="0"/>
      <w:autoSpaceDN w:val="0"/>
      <w:spacing w:after="0" w:line="240" w:lineRule="auto"/>
      <w:ind w:left="544" w:hanging="270"/>
      <w:outlineLvl w:val="1"/>
    </w:pPr>
    <w:rPr>
      <w:rFonts w:ascii="Times New Roman" w:eastAsia="Times New Roman" w:hAnsi="Times New Roman" w:cs="Times New Roman"/>
      <w:b/>
      <w:bCs/>
      <w:sz w:val="27"/>
      <w:szCs w:val="27"/>
      <w:lang w:val="pt-PT"/>
    </w:rPr>
  </w:style>
  <w:style w:type="paragraph" w:styleId="Ttulo3">
    <w:name w:val="heading 3"/>
    <w:basedOn w:val="Normal"/>
    <w:link w:val="Ttulo3Char"/>
    <w:uiPriority w:val="1"/>
    <w:qFormat/>
    <w:rsid w:val="00DA03FC"/>
    <w:pPr>
      <w:widowControl w:val="0"/>
      <w:autoSpaceDE w:val="0"/>
      <w:autoSpaceDN w:val="0"/>
      <w:spacing w:after="0" w:line="240" w:lineRule="auto"/>
      <w:ind w:left="431" w:right="2577"/>
      <w:jc w:val="center"/>
      <w:outlineLvl w:val="2"/>
    </w:pPr>
    <w:rPr>
      <w:rFonts w:ascii="Times New Roman" w:eastAsia="Times New Roman" w:hAnsi="Times New Roman" w:cs="Times New Roman"/>
      <w:b/>
      <w:bCs/>
      <w:sz w:val="21"/>
      <w:szCs w:val="21"/>
      <w:lang w:val="pt-PT"/>
    </w:rPr>
  </w:style>
  <w:style w:type="paragraph" w:styleId="Ttulo4">
    <w:name w:val="heading 4"/>
    <w:basedOn w:val="Normal"/>
    <w:link w:val="Ttulo4Char"/>
    <w:uiPriority w:val="1"/>
    <w:qFormat/>
    <w:rsid w:val="00DA03FC"/>
    <w:pPr>
      <w:widowControl w:val="0"/>
      <w:autoSpaceDE w:val="0"/>
      <w:autoSpaceDN w:val="0"/>
      <w:spacing w:after="0" w:line="240" w:lineRule="auto"/>
      <w:ind w:left="607" w:hanging="334"/>
      <w:outlineLvl w:val="3"/>
    </w:pPr>
    <w:rPr>
      <w:rFonts w:ascii="Arial" w:eastAsia="Arial" w:hAnsi="Arial" w:cs="Arial"/>
      <w:b/>
      <w:bCs/>
      <w:sz w:val="20"/>
      <w:szCs w:val="20"/>
      <w:lang w:val="pt-PT"/>
    </w:rPr>
  </w:style>
  <w:style w:type="paragraph" w:styleId="Ttulo5">
    <w:name w:val="heading 5"/>
    <w:basedOn w:val="Normal"/>
    <w:next w:val="Normal"/>
    <w:link w:val="Ttulo5Char"/>
    <w:uiPriority w:val="1"/>
    <w:unhideWhenUsed/>
    <w:qFormat/>
    <w:rsid w:val="00143C4A"/>
    <w:pPr>
      <w:keepNext/>
      <w:keepLines/>
      <w:spacing w:before="40" w:after="0"/>
      <w:outlineLvl w:val="4"/>
    </w:pPr>
    <w:rPr>
      <w:rFonts w:asciiTheme="majorHAnsi" w:eastAsiaTheme="majorEastAsia" w:hAnsiTheme="majorHAnsi" w:cstheme="majorBidi"/>
      <w:color w:val="2E74B5" w:themeColor="accent1" w:themeShade="BF"/>
    </w:rPr>
  </w:style>
  <w:style w:type="paragraph" w:styleId="Ttulo7">
    <w:name w:val="heading 7"/>
    <w:basedOn w:val="Normal"/>
    <w:next w:val="Normal"/>
    <w:link w:val="Ttulo7Char"/>
    <w:uiPriority w:val="9"/>
    <w:semiHidden/>
    <w:unhideWhenUsed/>
    <w:qFormat/>
    <w:rsid w:val="000E4504"/>
    <w:pPr>
      <w:keepNext/>
      <w:keepLines/>
      <w:spacing w:before="40" w:after="0"/>
      <w:outlineLvl w:val="6"/>
    </w:pPr>
    <w:rPr>
      <w:rFonts w:asciiTheme="majorHAnsi" w:eastAsiaTheme="majorEastAsia" w:hAnsiTheme="majorHAnsi" w:cstheme="majorBidi"/>
      <w:i/>
      <w:iCs/>
      <w:color w:val="1F4D78" w:themeColor="accent1" w:themeShade="7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textocentralizadomaiusculasnegrito">
    <w:name w:val="texto_centralizado_maiusculas_negrito"/>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justificadorecuoprimeiralinha">
    <w:name w:val="texto_justificado_recuo_primeira_linha"/>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3D577F"/>
    <w:rPr>
      <w:b/>
      <w:bCs/>
    </w:rPr>
  </w:style>
  <w:style w:type="character" w:customStyle="1" w:styleId="textojustificadorecuoprimeiralinha1">
    <w:name w:val="texto_justificado_recuo_primeira_linha1"/>
    <w:basedOn w:val="Fontepargpadro"/>
    <w:rsid w:val="003D577F"/>
  </w:style>
  <w:style w:type="paragraph" w:customStyle="1" w:styleId="tabelatextocentralizado">
    <w:name w:val="tabela_texto_centralizado"/>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abelatextoalinhadoesquerda">
    <w:name w:val="tabela_texto_alinhado_esquerda"/>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NormalWeb">
    <w:name w:val="Normal (Web)"/>
    <w:basedOn w:val="Normal"/>
    <w:uiPriority w:val="99"/>
    <w:unhideWhenUsed/>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Hyperlink">
    <w:name w:val="Hyperlink"/>
    <w:basedOn w:val="Fontepargpadro"/>
    <w:uiPriority w:val="99"/>
    <w:unhideWhenUsed/>
    <w:rsid w:val="003D577F"/>
    <w:rPr>
      <w:color w:val="0000FF"/>
      <w:u w:val="single"/>
    </w:rPr>
  </w:style>
  <w:style w:type="character" w:styleId="HiperlinkVisitado">
    <w:name w:val="FollowedHyperlink"/>
    <w:basedOn w:val="Fontepargpadro"/>
    <w:uiPriority w:val="99"/>
    <w:semiHidden/>
    <w:unhideWhenUsed/>
    <w:rsid w:val="003D577F"/>
    <w:rPr>
      <w:color w:val="800080"/>
      <w:u w:val="single"/>
    </w:rPr>
  </w:style>
  <w:style w:type="paragraph" w:customStyle="1" w:styleId="textoalinhadoesquerda">
    <w:name w:val="texto_alinhado_esquerda"/>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Ttulo1Char">
    <w:name w:val="Título 1 Char"/>
    <w:basedOn w:val="Fontepargpadro"/>
    <w:link w:val="Ttulo1"/>
    <w:uiPriority w:val="1"/>
    <w:rsid w:val="00DA03FC"/>
    <w:rPr>
      <w:rFonts w:ascii="Times New Roman" w:eastAsia="Times New Roman" w:hAnsi="Times New Roman" w:cs="Times New Roman"/>
      <w:b/>
      <w:bCs/>
      <w:sz w:val="36"/>
      <w:szCs w:val="36"/>
      <w:lang w:val="pt-PT"/>
    </w:rPr>
  </w:style>
  <w:style w:type="character" w:customStyle="1" w:styleId="Ttulo2Char">
    <w:name w:val="Título 2 Char"/>
    <w:basedOn w:val="Fontepargpadro"/>
    <w:link w:val="Ttulo2"/>
    <w:uiPriority w:val="1"/>
    <w:rsid w:val="00DA03FC"/>
    <w:rPr>
      <w:rFonts w:ascii="Times New Roman" w:eastAsia="Times New Roman" w:hAnsi="Times New Roman" w:cs="Times New Roman"/>
      <w:b/>
      <w:bCs/>
      <w:sz w:val="27"/>
      <w:szCs w:val="27"/>
      <w:lang w:val="pt-PT"/>
    </w:rPr>
  </w:style>
  <w:style w:type="character" w:customStyle="1" w:styleId="Ttulo3Char">
    <w:name w:val="Título 3 Char"/>
    <w:basedOn w:val="Fontepargpadro"/>
    <w:link w:val="Ttulo3"/>
    <w:uiPriority w:val="1"/>
    <w:rsid w:val="00DA03FC"/>
    <w:rPr>
      <w:rFonts w:ascii="Times New Roman" w:eastAsia="Times New Roman" w:hAnsi="Times New Roman" w:cs="Times New Roman"/>
      <w:b/>
      <w:bCs/>
      <w:sz w:val="21"/>
      <w:szCs w:val="21"/>
      <w:lang w:val="pt-PT"/>
    </w:rPr>
  </w:style>
  <w:style w:type="character" w:customStyle="1" w:styleId="Ttulo4Char">
    <w:name w:val="Título 4 Char"/>
    <w:basedOn w:val="Fontepargpadro"/>
    <w:link w:val="Ttulo4"/>
    <w:uiPriority w:val="1"/>
    <w:rsid w:val="00DA03FC"/>
    <w:rPr>
      <w:rFonts w:ascii="Arial" w:eastAsia="Arial" w:hAnsi="Arial" w:cs="Arial"/>
      <w:b/>
      <w:bCs/>
      <w:sz w:val="20"/>
      <w:szCs w:val="20"/>
      <w:lang w:val="pt-PT"/>
    </w:rPr>
  </w:style>
  <w:style w:type="table" w:customStyle="1" w:styleId="TableNormal">
    <w:name w:val="Table Normal"/>
    <w:uiPriority w:val="2"/>
    <w:semiHidden/>
    <w:unhideWhenUsed/>
    <w:qFormat/>
    <w:rsid w:val="00DA03FC"/>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DA03FC"/>
    <w:pPr>
      <w:widowControl w:val="0"/>
      <w:autoSpaceDE w:val="0"/>
      <w:autoSpaceDN w:val="0"/>
      <w:spacing w:after="0" w:line="240" w:lineRule="auto"/>
    </w:pPr>
    <w:rPr>
      <w:rFonts w:ascii="Arial MT" w:eastAsia="Arial MT" w:hAnsi="Arial MT" w:cs="Arial MT"/>
      <w:sz w:val="20"/>
      <w:szCs w:val="20"/>
      <w:lang w:val="pt-PT"/>
    </w:rPr>
  </w:style>
  <w:style w:type="character" w:customStyle="1" w:styleId="CorpodetextoChar">
    <w:name w:val="Corpo de texto Char"/>
    <w:basedOn w:val="Fontepargpadro"/>
    <w:link w:val="Corpodetexto"/>
    <w:uiPriority w:val="1"/>
    <w:rsid w:val="00DA03FC"/>
    <w:rPr>
      <w:rFonts w:ascii="Arial MT" w:eastAsia="Arial MT" w:hAnsi="Arial MT" w:cs="Arial MT"/>
      <w:sz w:val="20"/>
      <w:szCs w:val="20"/>
      <w:lang w:val="pt-PT"/>
    </w:rPr>
  </w:style>
  <w:style w:type="paragraph" w:styleId="PargrafodaLista">
    <w:name w:val="List Paragraph"/>
    <w:basedOn w:val="Normal"/>
    <w:link w:val="PargrafodaListaChar"/>
    <w:uiPriority w:val="1"/>
    <w:qFormat/>
    <w:rsid w:val="00DA03FC"/>
    <w:pPr>
      <w:widowControl w:val="0"/>
      <w:autoSpaceDE w:val="0"/>
      <w:autoSpaceDN w:val="0"/>
      <w:spacing w:after="0" w:line="240" w:lineRule="auto"/>
      <w:ind w:left="274" w:right="233"/>
      <w:jc w:val="both"/>
    </w:pPr>
    <w:rPr>
      <w:rFonts w:ascii="Arial MT" w:eastAsia="Arial MT" w:hAnsi="Arial MT" w:cs="Arial MT"/>
      <w:lang w:val="pt-PT"/>
    </w:rPr>
  </w:style>
  <w:style w:type="paragraph" w:customStyle="1" w:styleId="TableParagraph">
    <w:name w:val="Table Paragraph"/>
    <w:basedOn w:val="Normal"/>
    <w:uiPriority w:val="1"/>
    <w:qFormat/>
    <w:rsid w:val="00DA03FC"/>
    <w:pPr>
      <w:widowControl w:val="0"/>
      <w:autoSpaceDE w:val="0"/>
      <w:autoSpaceDN w:val="0"/>
      <w:spacing w:before="7" w:after="0" w:line="240" w:lineRule="auto"/>
    </w:pPr>
    <w:rPr>
      <w:rFonts w:ascii="Arial MT" w:eastAsia="Arial MT" w:hAnsi="Arial MT" w:cs="Arial MT"/>
      <w:lang w:val="pt-PT"/>
    </w:rPr>
  </w:style>
  <w:style w:type="paragraph" w:styleId="Cabealho">
    <w:name w:val="header"/>
    <w:basedOn w:val="Normal"/>
    <w:link w:val="CabealhoChar"/>
    <w:uiPriority w:val="99"/>
    <w:unhideWhenUsed/>
    <w:rsid w:val="00DA03FC"/>
    <w:pPr>
      <w:widowControl w:val="0"/>
      <w:tabs>
        <w:tab w:val="center" w:pos="4252"/>
        <w:tab w:val="right" w:pos="8504"/>
      </w:tabs>
      <w:autoSpaceDE w:val="0"/>
      <w:autoSpaceDN w:val="0"/>
      <w:spacing w:after="0" w:line="240" w:lineRule="auto"/>
    </w:pPr>
    <w:rPr>
      <w:rFonts w:ascii="Arial MT" w:eastAsia="Arial MT" w:hAnsi="Arial MT" w:cs="Arial MT"/>
      <w:lang w:val="pt-PT"/>
    </w:rPr>
  </w:style>
  <w:style w:type="character" w:customStyle="1" w:styleId="CabealhoChar">
    <w:name w:val="Cabeçalho Char"/>
    <w:basedOn w:val="Fontepargpadro"/>
    <w:link w:val="Cabealho"/>
    <w:uiPriority w:val="99"/>
    <w:rsid w:val="00DA03FC"/>
    <w:rPr>
      <w:rFonts w:ascii="Arial MT" w:eastAsia="Arial MT" w:hAnsi="Arial MT" w:cs="Arial MT"/>
      <w:lang w:val="pt-PT"/>
    </w:rPr>
  </w:style>
  <w:style w:type="paragraph" w:styleId="Rodap">
    <w:name w:val="footer"/>
    <w:basedOn w:val="Normal"/>
    <w:link w:val="RodapChar"/>
    <w:uiPriority w:val="99"/>
    <w:unhideWhenUsed/>
    <w:rsid w:val="00DA03FC"/>
    <w:pPr>
      <w:widowControl w:val="0"/>
      <w:tabs>
        <w:tab w:val="center" w:pos="4252"/>
        <w:tab w:val="right" w:pos="8504"/>
      </w:tabs>
      <w:autoSpaceDE w:val="0"/>
      <w:autoSpaceDN w:val="0"/>
      <w:spacing w:after="0" w:line="240" w:lineRule="auto"/>
    </w:pPr>
    <w:rPr>
      <w:rFonts w:ascii="Arial MT" w:eastAsia="Arial MT" w:hAnsi="Arial MT" w:cs="Arial MT"/>
      <w:lang w:val="pt-PT"/>
    </w:rPr>
  </w:style>
  <w:style w:type="character" w:customStyle="1" w:styleId="RodapChar">
    <w:name w:val="Rodapé Char"/>
    <w:basedOn w:val="Fontepargpadro"/>
    <w:link w:val="Rodap"/>
    <w:uiPriority w:val="99"/>
    <w:rsid w:val="00DA03FC"/>
    <w:rPr>
      <w:rFonts w:ascii="Arial MT" w:eastAsia="Arial MT" w:hAnsi="Arial MT" w:cs="Arial MT"/>
      <w:lang w:val="pt-PT"/>
    </w:rPr>
  </w:style>
  <w:style w:type="character" w:customStyle="1" w:styleId="PargrafodaListaChar">
    <w:name w:val="Parágrafo da Lista Char"/>
    <w:basedOn w:val="Fontepargpadro"/>
    <w:link w:val="PargrafodaLista"/>
    <w:uiPriority w:val="34"/>
    <w:rsid w:val="008D5F2C"/>
    <w:rPr>
      <w:rFonts w:ascii="Arial MT" w:eastAsia="Arial MT" w:hAnsi="Arial MT" w:cs="Arial MT"/>
      <w:lang w:val="pt-PT"/>
    </w:rPr>
  </w:style>
  <w:style w:type="character" w:customStyle="1" w:styleId="Ttulo5Char">
    <w:name w:val="Título 5 Char"/>
    <w:basedOn w:val="Fontepargpadro"/>
    <w:link w:val="Ttulo5"/>
    <w:uiPriority w:val="9"/>
    <w:semiHidden/>
    <w:rsid w:val="00143C4A"/>
    <w:rPr>
      <w:rFonts w:asciiTheme="majorHAnsi" w:eastAsiaTheme="majorEastAsia" w:hAnsiTheme="majorHAnsi" w:cstheme="majorBidi"/>
      <w:color w:val="2E74B5" w:themeColor="accent1" w:themeShade="BF"/>
    </w:rPr>
  </w:style>
  <w:style w:type="paragraph" w:styleId="Ttulo">
    <w:name w:val="Title"/>
    <w:basedOn w:val="Normal"/>
    <w:link w:val="TtuloChar"/>
    <w:uiPriority w:val="1"/>
    <w:qFormat/>
    <w:rsid w:val="004368EB"/>
    <w:pPr>
      <w:widowControl w:val="0"/>
      <w:autoSpaceDE w:val="0"/>
      <w:autoSpaceDN w:val="0"/>
      <w:spacing w:before="85" w:after="0" w:line="240" w:lineRule="auto"/>
      <w:ind w:left="2004" w:right="2012"/>
      <w:jc w:val="center"/>
    </w:pPr>
    <w:rPr>
      <w:rFonts w:ascii="Times New Roman" w:eastAsia="Times New Roman" w:hAnsi="Times New Roman" w:cs="Times New Roman"/>
      <w:b/>
      <w:bCs/>
      <w:sz w:val="36"/>
      <w:szCs w:val="36"/>
      <w:lang w:val="pt-PT"/>
    </w:rPr>
  </w:style>
  <w:style w:type="character" w:customStyle="1" w:styleId="TtuloChar">
    <w:name w:val="Título Char"/>
    <w:basedOn w:val="Fontepargpadro"/>
    <w:link w:val="Ttulo"/>
    <w:uiPriority w:val="1"/>
    <w:rsid w:val="004368EB"/>
    <w:rPr>
      <w:rFonts w:ascii="Times New Roman" w:eastAsia="Times New Roman" w:hAnsi="Times New Roman" w:cs="Times New Roman"/>
      <w:b/>
      <w:bCs/>
      <w:sz w:val="36"/>
      <w:szCs w:val="36"/>
      <w:lang w:val="pt-PT"/>
    </w:rPr>
  </w:style>
  <w:style w:type="table" w:customStyle="1" w:styleId="TableGrid">
    <w:name w:val="TableGrid"/>
    <w:rsid w:val="003B5346"/>
    <w:pPr>
      <w:spacing w:after="0" w:line="240" w:lineRule="auto"/>
    </w:pPr>
    <w:rPr>
      <w:rFonts w:eastAsia="Times New Roman"/>
      <w:lang w:eastAsia="pt-BR"/>
    </w:rPr>
    <w:tblPr>
      <w:tblCellMar>
        <w:top w:w="0" w:type="dxa"/>
        <w:left w:w="0" w:type="dxa"/>
        <w:bottom w:w="0" w:type="dxa"/>
        <w:right w:w="0" w:type="dxa"/>
      </w:tblCellMar>
    </w:tblPr>
  </w:style>
  <w:style w:type="character" w:customStyle="1" w:styleId="Ttulo7Char">
    <w:name w:val="Título 7 Char"/>
    <w:basedOn w:val="Fontepargpadro"/>
    <w:link w:val="Ttulo7"/>
    <w:uiPriority w:val="9"/>
    <w:semiHidden/>
    <w:rsid w:val="000E4504"/>
    <w:rPr>
      <w:rFonts w:asciiTheme="majorHAnsi" w:eastAsiaTheme="majorEastAsia" w:hAnsiTheme="majorHAnsi" w:cstheme="majorBidi"/>
      <w:i/>
      <w:iCs/>
      <w:color w:val="1F4D78" w:themeColor="accent1" w:themeShade="7F"/>
    </w:rPr>
  </w:style>
  <w:style w:type="character" w:customStyle="1" w:styleId="MenoPendente1">
    <w:name w:val="Menção Pendente1"/>
    <w:basedOn w:val="Fontepargpadro"/>
    <w:uiPriority w:val="99"/>
    <w:semiHidden/>
    <w:unhideWhenUsed/>
    <w:rsid w:val="00BD037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141770">
      <w:bodyDiv w:val="1"/>
      <w:marLeft w:val="0"/>
      <w:marRight w:val="0"/>
      <w:marTop w:val="0"/>
      <w:marBottom w:val="0"/>
      <w:divBdr>
        <w:top w:val="none" w:sz="0" w:space="0" w:color="auto"/>
        <w:left w:val="none" w:sz="0" w:space="0" w:color="auto"/>
        <w:bottom w:val="none" w:sz="0" w:space="0" w:color="auto"/>
        <w:right w:val="none" w:sz="0" w:space="0" w:color="auto"/>
      </w:divBdr>
    </w:div>
    <w:div w:id="438373264">
      <w:bodyDiv w:val="1"/>
      <w:marLeft w:val="0"/>
      <w:marRight w:val="0"/>
      <w:marTop w:val="0"/>
      <w:marBottom w:val="0"/>
      <w:divBdr>
        <w:top w:val="none" w:sz="0" w:space="0" w:color="auto"/>
        <w:left w:val="none" w:sz="0" w:space="0" w:color="auto"/>
        <w:bottom w:val="none" w:sz="0" w:space="0" w:color="auto"/>
        <w:right w:val="none" w:sz="0" w:space="0" w:color="auto"/>
      </w:divBdr>
    </w:div>
    <w:div w:id="682903055">
      <w:bodyDiv w:val="1"/>
      <w:marLeft w:val="0"/>
      <w:marRight w:val="0"/>
      <w:marTop w:val="0"/>
      <w:marBottom w:val="0"/>
      <w:divBdr>
        <w:top w:val="none" w:sz="0" w:space="0" w:color="auto"/>
        <w:left w:val="none" w:sz="0" w:space="0" w:color="auto"/>
        <w:bottom w:val="none" w:sz="0" w:space="0" w:color="auto"/>
        <w:right w:val="none" w:sz="0" w:space="0" w:color="auto"/>
      </w:divBdr>
    </w:div>
    <w:div w:id="766583869">
      <w:bodyDiv w:val="1"/>
      <w:marLeft w:val="0"/>
      <w:marRight w:val="0"/>
      <w:marTop w:val="0"/>
      <w:marBottom w:val="0"/>
      <w:divBdr>
        <w:top w:val="none" w:sz="0" w:space="0" w:color="auto"/>
        <w:left w:val="none" w:sz="0" w:space="0" w:color="auto"/>
        <w:bottom w:val="none" w:sz="0" w:space="0" w:color="auto"/>
        <w:right w:val="none" w:sz="0" w:space="0" w:color="auto"/>
      </w:divBdr>
    </w:div>
    <w:div w:id="814838965">
      <w:bodyDiv w:val="1"/>
      <w:marLeft w:val="0"/>
      <w:marRight w:val="0"/>
      <w:marTop w:val="0"/>
      <w:marBottom w:val="0"/>
      <w:divBdr>
        <w:top w:val="none" w:sz="0" w:space="0" w:color="auto"/>
        <w:left w:val="none" w:sz="0" w:space="0" w:color="auto"/>
        <w:bottom w:val="none" w:sz="0" w:space="0" w:color="auto"/>
        <w:right w:val="none" w:sz="0" w:space="0" w:color="auto"/>
      </w:divBdr>
    </w:div>
    <w:div w:id="906842731">
      <w:bodyDiv w:val="1"/>
      <w:marLeft w:val="0"/>
      <w:marRight w:val="0"/>
      <w:marTop w:val="0"/>
      <w:marBottom w:val="0"/>
      <w:divBdr>
        <w:top w:val="none" w:sz="0" w:space="0" w:color="auto"/>
        <w:left w:val="none" w:sz="0" w:space="0" w:color="auto"/>
        <w:bottom w:val="none" w:sz="0" w:space="0" w:color="auto"/>
        <w:right w:val="none" w:sz="0" w:space="0" w:color="auto"/>
      </w:divBdr>
    </w:div>
    <w:div w:id="1131020748">
      <w:bodyDiv w:val="1"/>
      <w:marLeft w:val="0"/>
      <w:marRight w:val="0"/>
      <w:marTop w:val="0"/>
      <w:marBottom w:val="0"/>
      <w:divBdr>
        <w:top w:val="none" w:sz="0" w:space="0" w:color="auto"/>
        <w:left w:val="none" w:sz="0" w:space="0" w:color="auto"/>
        <w:bottom w:val="none" w:sz="0" w:space="0" w:color="auto"/>
        <w:right w:val="none" w:sz="0" w:space="0" w:color="auto"/>
      </w:divBdr>
    </w:div>
    <w:div w:id="1161123850">
      <w:bodyDiv w:val="1"/>
      <w:marLeft w:val="0"/>
      <w:marRight w:val="0"/>
      <w:marTop w:val="0"/>
      <w:marBottom w:val="0"/>
      <w:divBdr>
        <w:top w:val="none" w:sz="0" w:space="0" w:color="auto"/>
        <w:left w:val="none" w:sz="0" w:space="0" w:color="auto"/>
        <w:bottom w:val="none" w:sz="0" w:space="0" w:color="auto"/>
        <w:right w:val="none" w:sz="0" w:space="0" w:color="auto"/>
      </w:divBdr>
    </w:div>
    <w:div w:id="1646280312">
      <w:bodyDiv w:val="1"/>
      <w:marLeft w:val="0"/>
      <w:marRight w:val="0"/>
      <w:marTop w:val="0"/>
      <w:marBottom w:val="0"/>
      <w:divBdr>
        <w:top w:val="none" w:sz="0" w:space="0" w:color="auto"/>
        <w:left w:val="none" w:sz="0" w:space="0" w:color="auto"/>
        <w:bottom w:val="none" w:sz="0" w:space="0" w:color="auto"/>
        <w:right w:val="none" w:sz="0" w:space="0" w:color="auto"/>
      </w:divBdr>
    </w:div>
    <w:div w:id="1829050913">
      <w:bodyDiv w:val="1"/>
      <w:marLeft w:val="0"/>
      <w:marRight w:val="0"/>
      <w:marTop w:val="0"/>
      <w:marBottom w:val="0"/>
      <w:divBdr>
        <w:top w:val="none" w:sz="0" w:space="0" w:color="auto"/>
        <w:left w:val="none" w:sz="0" w:space="0" w:color="auto"/>
        <w:bottom w:val="none" w:sz="0" w:space="0" w:color="auto"/>
        <w:right w:val="none" w:sz="0" w:space="0" w:color="auto"/>
      </w:divBdr>
    </w:div>
    <w:div w:id="18810935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_ato2019-2022/2020/decreto/D10543.htm" TargetMode="External"/><Relationship Id="rId21"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42" Type="http://schemas.openxmlformats.org/officeDocument/2006/relationships/hyperlink" Target="https://www.planalto.gov.br/ccivil_03/_Ato2011-2014/2013/Lei/L12846.htm" TargetMode="External"/><Relationship Id="rId47" Type="http://schemas.openxmlformats.org/officeDocument/2006/relationships/hyperlink" Target="https://www.planalto.gov.br/ccivil_03/_Ato2019-2022/2021/Lei/L14133.htm" TargetMode="External"/><Relationship Id="rId63" Type="http://schemas.openxmlformats.org/officeDocument/2006/relationships/hyperlink" Target="https://www.planalto.gov.br/ccivil_03/_ato2011-2014/2013/lei/l12846.htm" TargetMode="External"/><Relationship Id="rId68" Type="http://schemas.openxmlformats.org/officeDocument/2006/relationships/hyperlink" Target="http://www.planalto.gov.br/ccivil_03/_ato2019-2022/2021/lei/L14133.htm" TargetMode="External"/><Relationship Id="rId84" Type="http://schemas.openxmlformats.org/officeDocument/2006/relationships/hyperlink" Target="https://www.planalto.gov.br/ccivil_03/_Ato2019-2022/2021/Lei/L14133.htm" TargetMode="External"/><Relationship Id="rId89" Type="http://schemas.openxmlformats.org/officeDocument/2006/relationships/hyperlink" Target="https://www.planalto.gov.br/ccivil_03/_Ato2019-2022/2021/Lei/L14133.htm" TargetMode="External"/><Relationship Id="rId16"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1"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www.planalto.gov.br/ccivil_03/_ato2019-2022/2021/lei/L14133.htm" TargetMode="External"/><Relationship Id="rId74" Type="http://schemas.openxmlformats.org/officeDocument/2006/relationships/hyperlink" Target="https://www.planalto.gov.br/ccivil_03/leis/l8078compilado.htm" TargetMode="External"/><Relationship Id="rId79" Type="http://schemas.openxmlformats.org/officeDocument/2006/relationships/hyperlink" Target="http://www.planalto.gov.br/ccivil_03/_ato2019-2022/2021/lei/L14133.htm" TargetMode="External"/><Relationship Id="rId5" Type="http://schemas.openxmlformats.org/officeDocument/2006/relationships/webSettings" Target="webSettings.xml"/><Relationship Id="rId90" Type="http://schemas.openxmlformats.org/officeDocument/2006/relationships/hyperlink" Target="https://www.planalto.gov.br/ccivil_03/_Ato2019-2022/2021/Lei/L14133.htm" TargetMode="External"/><Relationship Id="rId95" Type="http://schemas.openxmlformats.org/officeDocument/2006/relationships/header" Target="header2.xml"/><Relationship Id="rId22" Type="http://schemas.openxmlformats.org/officeDocument/2006/relationships/hyperlink" Target="https://www.planalto.gov.br/ccivil_03/_ato2019-2022/2020/decreto/D10543.htm" TargetMode="External"/><Relationship Id="rId27" Type="http://schemas.openxmlformats.org/officeDocument/2006/relationships/hyperlink" Target="https://www.planalto.gov.br/ccivil_03/_ato2019-2022/2020/decreto/D10543.htm" TargetMode="External"/><Relationship Id="rId43" Type="http://schemas.openxmlformats.org/officeDocument/2006/relationships/hyperlink" Target="http://www.legislacao.sp.gov.br/legislacao/dg280202.nsf/5fb5269ed17b47ab83256cfb00501469/d26a3c60510da6bc03258905004dd50a?OpenDocument&amp;Highlight=0,67.301" TargetMode="External"/><Relationship Id="rId48" Type="http://schemas.openxmlformats.org/officeDocument/2006/relationships/hyperlink" Target="https://www.planalto.gov.br/ccivil_03/_Ato2019-2022/2021/Lei/L14133.htm" TargetMode="External"/><Relationship Id="rId64" Type="http://schemas.openxmlformats.org/officeDocument/2006/relationships/hyperlink" Target="http://www.planalto.gov.br/ccivil_03/_ato2019-2022/2021/lei/L14133.htm%25art159" TargetMode="External"/><Relationship Id="rId69" Type="http://schemas.openxmlformats.org/officeDocument/2006/relationships/hyperlink" Target="http://www.planalto.gov.br/ccivil_03/_ato2019-2022/2021/lei/L14133.htm" TargetMode="External"/><Relationship Id="rId80" Type="http://schemas.openxmlformats.org/officeDocument/2006/relationships/hyperlink" Target="http://www.planalto.gov.br/ccivil_03/_ato2019-2022/2021/lei/L14133.htm" TargetMode="External"/><Relationship Id="rId85" Type="http://schemas.openxmlformats.org/officeDocument/2006/relationships/hyperlink" Target="https://www.planalto.gov.br/ccivil_03/_Ato2019-2022/2021/Lei/L14133.htm" TargetMode="External"/><Relationship Id="rId3" Type="http://schemas.openxmlformats.org/officeDocument/2006/relationships/styles" Target="styles.xml"/><Relationship Id="rId12"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7"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25" Type="http://schemas.openxmlformats.org/officeDocument/2006/relationships/hyperlink" Target="https://www.planalto.gov.br/ccivil_03/_ato2019-2022/2020/decreto/D10543.htm" TargetMode="External"/><Relationship Id="rId33" Type="http://schemas.openxmlformats.org/officeDocument/2006/relationships/hyperlink" Target="https://www.planalto.gov.br/ccivil_03/LEIS/LCP/Lcp123.htm" TargetMode="External"/><Relationship Id="rId38" Type="http://schemas.openxmlformats.org/officeDocument/2006/relationships/hyperlink" Target="https://www.planalto.gov.br/ccivil_03/leis/l8078compilado.htm" TargetMode="External"/><Relationship Id="rId46" Type="http://schemas.openxmlformats.org/officeDocument/2006/relationships/hyperlink" Target="https://www.planalto.gov.br/ccivil_03/_Ato2019-2022/2021/Lei/L14133.htm" TargetMode="External"/><Relationship Id="rId59" Type="http://schemas.openxmlformats.org/officeDocument/2006/relationships/hyperlink" Target="http://www.planalto.gov.br/ccivil_03/_ato2019-2022/2021/lei/L14133.htm" TargetMode="External"/><Relationship Id="rId67" Type="http://schemas.openxmlformats.org/officeDocument/2006/relationships/hyperlink" Target="http://www.planalto.gov.br/ccivil_03/_ato2019-2022/2021/lei/L14133.htm" TargetMode="External"/><Relationship Id="rId20"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www.planalto.gov.br/ccivil_03/_ato2019-2022/2021/lei/L14133.htm" TargetMode="External"/><Relationship Id="rId70" Type="http://schemas.openxmlformats.org/officeDocument/2006/relationships/hyperlink" Target="http://www.planalto.gov.br/ccivil_03/_ato2019-2022/2021/lei/L14133.htm" TargetMode="External"/><Relationship Id="rId75" Type="http://schemas.openxmlformats.org/officeDocument/2006/relationships/hyperlink" Target="http://www.planalto.gov.br/ccivil_03/_ato2019-2022/2021/lei/L14133.htm" TargetMode="External"/><Relationship Id="rId83" Type="http://schemas.openxmlformats.org/officeDocument/2006/relationships/hyperlink" Target="https://www.planalto.gov.br/ccivil_03/_Ato2023-2026/2023/Decreto/D11462.htm" TargetMode="External"/><Relationship Id="rId88" Type="http://schemas.openxmlformats.org/officeDocument/2006/relationships/hyperlink" Target="https://www.planalto.gov.br/ccivil_03/_Ato2019-2022/2021/Lei/L14133.htm" TargetMode="External"/><Relationship Id="rId91" Type="http://schemas.openxmlformats.org/officeDocument/2006/relationships/hyperlink" Target="https://www.planalto.gov.br/ccivil_03/_Ato2019-2022/2021/Lei/L14133.htm" TargetMode="External"/><Relationship Id="rId9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23" Type="http://schemas.openxmlformats.org/officeDocument/2006/relationships/hyperlink" Target="https://www.planalto.gov.br/ccivil_03/_ato2019-2022/2020/decreto/D10543.htm" TargetMode="External"/><Relationship Id="rId28" Type="http://schemas.openxmlformats.org/officeDocument/2006/relationships/header" Target="header1.xm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www.planalto.gov.br/ccivil_03/_ato2019-2022/2021/lei/L14133.htm" TargetMode="External"/><Relationship Id="rId10"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s://www.planalto.gov.br/ccivil_03/_Ato2011-2014/2013/Lei/L12846.htm" TargetMode="External"/><Relationship Id="rId52" Type="http://schemas.openxmlformats.org/officeDocument/2006/relationships/hyperlink" Target="https://www.planalto.gov.br/ccivil_03/_ato2011-2014/2013/lei/l12846.htm"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www.planalto.gov.br/ccivil_03/_ato2019-2022/2021/lei/L14133.htm" TargetMode="External"/><Relationship Id="rId73" Type="http://schemas.openxmlformats.org/officeDocument/2006/relationships/hyperlink" Target="http://www.planalto.gov.br/ccivil_03/_ato2019-2022/2021/lei/L14133.htm" TargetMode="External"/><Relationship Id="rId78" Type="http://schemas.openxmlformats.org/officeDocument/2006/relationships/hyperlink" Target="https://www.planalto.gov.br/ccivil_03/_ato2011-2014/2011/lei/l12527.htm" TargetMode="External"/><Relationship Id="rId81" Type="http://schemas.openxmlformats.org/officeDocument/2006/relationships/hyperlink" Target="https://www.planalto.gov.br/ccivil_03/_Ato2019-2022/2021/Lei/L14133.htm" TargetMode="External"/><Relationship Id="rId86" Type="http://schemas.openxmlformats.org/officeDocument/2006/relationships/hyperlink" Target="https://www.planalto.gov.br/ccivil_03/_Ato2019-2022/2021/Lei/L14133.htm" TargetMode="External"/><Relationship Id="rId94" Type="http://schemas.openxmlformats.org/officeDocument/2006/relationships/hyperlink" Target="https://www.planalto.gov.br/ccivil_03/_Ato2019-2022/2021/Lei/L14133.htm" TargetMode="External"/><Relationship Id="rId4" Type="http://schemas.openxmlformats.org/officeDocument/2006/relationships/settings" Target="settings.xml"/><Relationship Id="rId9"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3"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8"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9"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 Id="rId76" Type="http://schemas.openxmlformats.org/officeDocument/2006/relationships/hyperlink" Target="http://www.planalto.gov.br/ccivil_03/_ato2019-2022/2021/lei/L14133.htm" TargetMode="External"/><Relationship Id="rId97"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hyperlink" Target="http://www.planalto.gov.br/ccivil_03/_ato2019-2022/2021/lei/L14133.htm" TargetMode="External"/><Relationship Id="rId92" Type="http://schemas.openxmlformats.org/officeDocument/2006/relationships/hyperlink" Target="https://www.planalto.gov.br/ccivil_03/_Ato2019-2022/2021/Lei/L14133.htm" TargetMode="External"/><Relationship Id="rId2" Type="http://schemas.openxmlformats.org/officeDocument/2006/relationships/numbering" Target="numbering.xml"/><Relationship Id="rId29" Type="http://schemas.openxmlformats.org/officeDocument/2006/relationships/hyperlink" Target="http://www.planalto.gov.br/ccivil_03/_ato2019-2022/2021/lei/L14133.htm" TargetMode="External"/><Relationship Id="rId24" Type="http://schemas.openxmlformats.org/officeDocument/2006/relationships/hyperlink" Target="https://www.planalto.gov.br/ccivil_03/_ato2019-2022/2020/decreto/D10543.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legislacao.sp.gov.br/legislacao/dg280202.nsf/5fb5269ed17b47ab83256cfb00501469/d26a3c60510da6bc03258905004dd50a?OpenDocument&amp;Highlight=0,67.301" TargetMode="External"/><Relationship Id="rId66" Type="http://schemas.openxmlformats.org/officeDocument/2006/relationships/hyperlink" Target="http://www.planalto.gov.br/ccivil_03/_ato2019-2022/2021/lei/L14133.htm" TargetMode="External"/><Relationship Id="rId87" Type="http://schemas.openxmlformats.org/officeDocument/2006/relationships/hyperlink" Target="https://www.planalto.gov.br/ccivil_03/_Ato2019-2022/2021/Lei/L14133.htm" TargetMode="External"/><Relationship Id="rId61" Type="http://schemas.openxmlformats.org/officeDocument/2006/relationships/hyperlink" Target="http://www.planalto.gov.br/ccivil_03/_ato2019-2022/2021/lei/L14133.htm" TargetMode="External"/><Relationship Id="rId82" Type="http://schemas.openxmlformats.org/officeDocument/2006/relationships/hyperlink" Target="http://www.legislacao.sp.gov.br/legislacao/dg280202.nsf/5fb5269ed17b47ab83256cfb00501469/ae4c99f07f9f4f7d03258980004dbc9d?OpenDocument&amp;Highlight=0,67.608" TargetMode="External"/><Relationship Id="rId19"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4"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77" Type="http://schemas.openxmlformats.org/officeDocument/2006/relationships/hyperlink" Target="http://www.planalto.gov.br/ccivil_03/_ato2019-2022/2021/lei/L14133.htm" TargetMode="External"/><Relationship Id="rId8"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51" Type="http://schemas.openxmlformats.org/officeDocument/2006/relationships/hyperlink" Target="http://www.planalto.gov.br/ccivil_03/_ato2019-2022/2021/lei/L14133.htm" TargetMode="External"/><Relationship Id="rId72" Type="http://schemas.openxmlformats.org/officeDocument/2006/relationships/hyperlink" Target="http://www.planalto.gov.br/ccivil_03/_ato2019-2022/2021/lei/L14133.htm" TargetMode="External"/><Relationship Id="rId93" Type="http://schemas.openxmlformats.org/officeDocument/2006/relationships/hyperlink" Target="http://www.legislacao.sp.gov.br/legislacao/dg280202.nsf/ae9f9e0701e533aa032572e6006cf5fd/0cf4bc084e49b505032573d000509b17?OpenDocument&amp;Highlight=0,12.799" TargetMode="External"/><Relationship Id="rId98" Type="http://schemas.openxmlformats.org/officeDocument/2006/relationships/theme" Target="theme/theme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9B7608-5539-42AB-838E-A417DC57C0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58</Pages>
  <Words>32721</Words>
  <Characters>176698</Characters>
  <Application>Microsoft Office Word</Application>
  <DocSecurity>0</DocSecurity>
  <Lines>1472</Lines>
  <Paragraphs>418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209001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PRISCILA SANTANA DESTRO</dc:creator>
  <cp:keywords/>
  <dc:description/>
  <cp:lastModifiedBy>ELTON RAUL SOARES</cp:lastModifiedBy>
  <cp:revision>3</cp:revision>
  <dcterms:created xsi:type="dcterms:W3CDTF">2026-05-08T13:49:00Z</dcterms:created>
  <dcterms:modified xsi:type="dcterms:W3CDTF">2026-05-08T20:22:00Z</dcterms:modified>
</cp:coreProperties>
</file>